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9219" w14:textId="604DEDE9" w:rsidR="008E60A3" w:rsidRDefault="008E60A3" w:rsidP="008E60A3">
      <w:pPr>
        <w:jc w:val="center"/>
        <w:rPr>
          <w:rFonts w:eastAsia="MS Mincho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6F794E95" wp14:editId="0FB2FAD8">
            <wp:simplePos x="0" y="0"/>
            <wp:positionH relativeFrom="column">
              <wp:posOffset>5943600</wp:posOffset>
            </wp:positionH>
            <wp:positionV relativeFrom="paragraph">
              <wp:posOffset>-509905</wp:posOffset>
            </wp:positionV>
            <wp:extent cx="924560" cy="587375"/>
            <wp:effectExtent l="0" t="0" r="889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8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b/>
          <w:sz w:val="28"/>
          <w:szCs w:val="28"/>
        </w:rPr>
        <w:t>Ceník externích vyšetření – psi</w:t>
      </w:r>
    </w:p>
    <w:tbl>
      <w:tblPr>
        <w:tblW w:w="1070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3969"/>
        <w:gridCol w:w="1347"/>
        <w:gridCol w:w="1134"/>
        <w:gridCol w:w="638"/>
      </w:tblGrid>
      <w:tr w:rsidR="008E60A3" w14:paraId="781B1A80" w14:textId="77777777" w:rsidTr="00A21EE2">
        <w:trPr>
          <w:cantSplit/>
          <w:trHeight w:val="397"/>
        </w:trPr>
        <w:tc>
          <w:tcPr>
            <w:tcW w:w="2338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2C1CB581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>Vyšetření</w:t>
            </w:r>
          </w:p>
        </w:tc>
        <w:tc>
          <w:tcPr>
            <w:tcW w:w="1276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646BE968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>Druh vzorku</w:t>
            </w:r>
          </w:p>
        </w:tc>
        <w:tc>
          <w:tcPr>
            <w:tcW w:w="3969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1AE628EE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 xml:space="preserve">Popis </w:t>
            </w:r>
          </w:p>
        </w:tc>
        <w:tc>
          <w:tcPr>
            <w:tcW w:w="1347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0ABCE664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>Laboratoř</w:t>
            </w:r>
          </w:p>
        </w:tc>
        <w:tc>
          <w:tcPr>
            <w:tcW w:w="1772" w:type="dxa"/>
            <w:gridSpan w:val="2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auto"/>
            <w:vAlign w:val="center"/>
          </w:tcPr>
          <w:p w14:paraId="0BDF3916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>Cena Kč</w:t>
            </w:r>
          </w:p>
          <w:p w14:paraId="0D9DC1A9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>s DPH/EUR</w:t>
            </w:r>
          </w:p>
        </w:tc>
      </w:tr>
      <w:tr w:rsidR="008E60A3" w14:paraId="3DC67627" w14:textId="77777777" w:rsidTr="00A21EE2">
        <w:trPr>
          <w:cantSplit/>
          <w:trHeight w:val="57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4A3D9" w14:textId="77777777" w:rsidR="008E60A3" w:rsidRDefault="008E60A3" w:rsidP="00A21EE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729EA5B4" w14:textId="77777777" w:rsidR="008E60A3" w:rsidRDefault="008E60A3" w:rsidP="00A21EE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4B47DD7B" w14:textId="77777777" w:rsidR="008E60A3" w:rsidRDefault="008E60A3" w:rsidP="00A21EE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Coat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color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1F089186" w14:textId="77777777" w:rsidR="008E60A3" w:rsidRDefault="008E60A3" w:rsidP="00A21E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(zbarvení srsti)</w:t>
            </w:r>
          </w:p>
          <w:p w14:paraId="26C3935A" w14:textId="77777777" w:rsidR="008E60A3" w:rsidRDefault="008E60A3" w:rsidP="00A21E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F8BD16" w14:textId="77777777" w:rsidR="008E60A3" w:rsidRDefault="008E60A3" w:rsidP="00A21EE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7AC33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0718" w14:textId="77777777" w:rsidR="008E60A3" w:rsidRPr="00490199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 w:rsidRPr="00490199">
              <w:rPr>
                <w:b/>
                <w:sz w:val="18"/>
                <w:szCs w:val="18"/>
              </w:rPr>
              <w:t>Genetické vyšetření</w:t>
            </w:r>
          </w:p>
          <w:p w14:paraId="523D160F" w14:textId="77777777" w:rsidR="008E60A3" w:rsidRPr="00490199" w:rsidRDefault="008E60A3" w:rsidP="00A21EE2">
            <w:pPr>
              <w:rPr>
                <w:rStyle w:val="datafield1"/>
                <w:sz w:val="18"/>
                <w:szCs w:val="18"/>
              </w:rPr>
            </w:pPr>
            <w:proofErr w:type="spellStart"/>
            <w:r w:rsidRPr="00490199">
              <w:rPr>
                <w:rStyle w:val="datafield1"/>
                <w:sz w:val="18"/>
                <w:szCs w:val="18"/>
              </w:rPr>
              <w:t>Agouti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 </w:t>
            </w:r>
          </w:p>
          <w:p w14:paraId="0C841E7C" w14:textId="77777777" w:rsidR="008E60A3" w:rsidRPr="00490199" w:rsidRDefault="008E60A3" w:rsidP="00A21EE2">
            <w:pPr>
              <w:rPr>
                <w:rStyle w:val="datafield1"/>
                <w:sz w:val="18"/>
                <w:szCs w:val="18"/>
              </w:rPr>
            </w:pPr>
            <w:r w:rsidRPr="00490199">
              <w:rPr>
                <w:rStyle w:val="datafield1"/>
                <w:sz w:val="18"/>
                <w:szCs w:val="18"/>
              </w:rPr>
              <w:t xml:space="preserve">Dominant Black – Black vs. Brendle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or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Fawn</w:t>
            </w:r>
            <w:proofErr w:type="spellEnd"/>
          </w:p>
          <w:p w14:paraId="43923724" w14:textId="77777777" w:rsidR="008E60A3" w:rsidRPr="00490199" w:rsidRDefault="008E60A3" w:rsidP="00A21EE2">
            <w:pPr>
              <w:rPr>
                <w:rStyle w:val="datafield1"/>
                <w:sz w:val="18"/>
                <w:szCs w:val="18"/>
              </w:rPr>
            </w:pPr>
            <w:r w:rsidRPr="00490199">
              <w:rPr>
                <w:rStyle w:val="datafield1"/>
                <w:sz w:val="18"/>
                <w:szCs w:val="18"/>
              </w:rPr>
              <w:t xml:space="preserve">MC1R – Black vs.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Red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or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Yellow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 Pigment</w:t>
            </w:r>
          </w:p>
          <w:p w14:paraId="5B5A2D7A" w14:textId="77777777" w:rsidR="008E60A3" w:rsidRPr="00490199" w:rsidRDefault="008E60A3" w:rsidP="00A21EE2">
            <w:pPr>
              <w:rPr>
                <w:rStyle w:val="datafield1"/>
                <w:sz w:val="18"/>
                <w:szCs w:val="18"/>
              </w:rPr>
            </w:pPr>
            <w:proofErr w:type="spellStart"/>
            <w:r w:rsidRPr="00490199">
              <w:rPr>
                <w:rStyle w:val="datafield1"/>
                <w:sz w:val="18"/>
                <w:szCs w:val="18"/>
              </w:rPr>
              <w:t>Dilute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 </w:t>
            </w:r>
          </w:p>
          <w:p w14:paraId="2D8F9383" w14:textId="77777777" w:rsidR="008E60A3" w:rsidRPr="00490199" w:rsidRDefault="008E60A3" w:rsidP="00A21EE2">
            <w:pPr>
              <w:rPr>
                <w:rStyle w:val="datafield1"/>
                <w:sz w:val="18"/>
                <w:szCs w:val="18"/>
              </w:rPr>
            </w:pPr>
            <w:r w:rsidRPr="00490199">
              <w:rPr>
                <w:rStyle w:val="datafield1"/>
                <w:sz w:val="18"/>
                <w:szCs w:val="18"/>
              </w:rPr>
              <w:t>Brown (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Chocolate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) </w:t>
            </w:r>
          </w:p>
          <w:p w14:paraId="781ADB88" w14:textId="77777777" w:rsidR="008E60A3" w:rsidRPr="00490199" w:rsidRDefault="008E60A3" w:rsidP="00A21EE2">
            <w:pPr>
              <w:rPr>
                <w:rStyle w:val="headerinstructions1"/>
                <w:bCs/>
                <w:sz w:val="18"/>
                <w:szCs w:val="18"/>
              </w:rPr>
            </w:pPr>
            <w:proofErr w:type="spellStart"/>
            <w:r w:rsidRPr="00490199">
              <w:rPr>
                <w:rStyle w:val="headerinstructions1"/>
                <w:bCs/>
                <w:sz w:val="18"/>
                <w:szCs w:val="18"/>
              </w:rPr>
              <w:t>Melanistic</w:t>
            </w:r>
            <w:proofErr w:type="spellEnd"/>
            <w:r w:rsidRPr="00490199">
              <w:rPr>
                <w:rStyle w:val="headerinstructions1"/>
                <w:bCs/>
                <w:sz w:val="18"/>
                <w:szCs w:val="18"/>
              </w:rPr>
              <w:t xml:space="preserve"> </w:t>
            </w:r>
            <w:proofErr w:type="spellStart"/>
            <w:r w:rsidRPr="00490199">
              <w:rPr>
                <w:rStyle w:val="headerinstructions1"/>
                <w:bCs/>
                <w:sz w:val="18"/>
                <w:szCs w:val="18"/>
              </w:rPr>
              <w:t>Mask</w:t>
            </w:r>
            <w:proofErr w:type="spellEnd"/>
          </w:p>
          <w:p w14:paraId="3964F388" w14:textId="77777777" w:rsidR="008E60A3" w:rsidRPr="00490199" w:rsidRDefault="008E60A3" w:rsidP="00A21EE2">
            <w:pPr>
              <w:rPr>
                <w:sz w:val="18"/>
                <w:szCs w:val="18"/>
              </w:rPr>
            </w:pPr>
            <w:proofErr w:type="spellStart"/>
            <w:r w:rsidRPr="00490199">
              <w:rPr>
                <w:sz w:val="18"/>
                <w:szCs w:val="18"/>
              </w:rPr>
              <w:t>Piebald</w:t>
            </w:r>
            <w:proofErr w:type="spellEnd"/>
            <w:r w:rsidRPr="00490199">
              <w:rPr>
                <w:sz w:val="18"/>
                <w:szCs w:val="18"/>
              </w:rPr>
              <w:t xml:space="preserve">/ </w:t>
            </w:r>
            <w:proofErr w:type="spellStart"/>
            <w:r w:rsidRPr="00490199">
              <w:rPr>
                <w:sz w:val="18"/>
                <w:szCs w:val="18"/>
              </w:rPr>
              <w:t>White</w:t>
            </w:r>
            <w:proofErr w:type="spellEnd"/>
            <w:r w:rsidRPr="00490199">
              <w:rPr>
                <w:sz w:val="18"/>
                <w:szCs w:val="18"/>
              </w:rPr>
              <w:t xml:space="preserve"> </w:t>
            </w:r>
            <w:proofErr w:type="spellStart"/>
            <w:r w:rsidRPr="00490199">
              <w:rPr>
                <w:sz w:val="18"/>
                <w:szCs w:val="18"/>
              </w:rPr>
              <w:t>Spotting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7D7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8DC84D6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</w:p>
          <w:p w14:paraId="4EE0DA7C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>, USA*</w:t>
            </w:r>
          </w:p>
          <w:p w14:paraId="232AB199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</w:p>
          <w:p w14:paraId="37EBF94C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B3B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246953F" w14:textId="77777777" w:rsidR="008E60A3" w:rsidRDefault="008E60A3" w:rsidP="00A21EE2">
            <w:pPr>
              <w:snapToGrid w:val="0"/>
              <w:rPr>
                <w:sz w:val="18"/>
                <w:szCs w:val="18"/>
              </w:rPr>
            </w:pPr>
          </w:p>
          <w:p w14:paraId="18D89863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1593,00/ test</w:t>
            </w:r>
          </w:p>
          <w:p w14:paraId="485AC33D" w14:textId="77777777" w:rsidR="008E60A3" w:rsidRDefault="008E60A3" w:rsidP="00A21EE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2300,00/2testy</w:t>
            </w:r>
          </w:p>
          <w:p w14:paraId="5D00DA9E" w14:textId="77777777" w:rsidR="008E60A3" w:rsidRDefault="008E60A3" w:rsidP="00A21EE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3008,00/3testy</w:t>
            </w:r>
          </w:p>
          <w:p w14:paraId="04CFC8FA" w14:textId="77777777" w:rsidR="008E60A3" w:rsidRDefault="008E60A3" w:rsidP="00A21EE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531,00 každý další test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CFAD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3F4E3CF" w14:textId="77777777" w:rsidR="008E60A3" w:rsidRDefault="008E60A3" w:rsidP="00A21EE2">
            <w:pPr>
              <w:snapToGrid w:val="0"/>
              <w:rPr>
                <w:sz w:val="18"/>
                <w:szCs w:val="18"/>
              </w:rPr>
            </w:pPr>
          </w:p>
          <w:p w14:paraId="74D44C5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61,00</w:t>
            </w:r>
          </w:p>
          <w:p w14:paraId="0F82BFFE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  <w:p w14:paraId="260C20E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116,00</w:t>
            </w:r>
          </w:p>
          <w:p w14:paraId="3A572F83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8E60A3" w14:paraId="605F0DDE" w14:textId="77777777" w:rsidTr="00A21EE2">
        <w:trPr>
          <w:cantSplit/>
          <w:trHeight w:val="57"/>
        </w:trPr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AF8D8A" w14:textId="77777777" w:rsidR="008E60A3" w:rsidRDefault="008E60A3" w:rsidP="00A21EE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D592A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720F" w14:textId="77777777" w:rsidR="008E60A3" w:rsidRPr="00490199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 w:rsidRPr="00490199">
              <w:rPr>
                <w:b/>
                <w:sz w:val="18"/>
                <w:szCs w:val="18"/>
              </w:rPr>
              <w:t>Genetické vyšetření</w:t>
            </w:r>
          </w:p>
          <w:p w14:paraId="63EC5BF3" w14:textId="77777777" w:rsidR="008E60A3" w:rsidRPr="00490199" w:rsidRDefault="008E60A3" w:rsidP="00A21EE2">
            <w:pPr>
              <w:rPr>
                <w:rStyle w:val="datafield1"/>
                <w:sz w:val="18"/>
                <w:szCs w:val="18"/>
              </w:rPr>
            </w:pPr>
            <w:r w:rsidRPr="00490199">
              <w:rPr>
                <w:rStyle w:val="datafield1"/>
                <w:sz w:val="18"/>
                <w:szCs w:val="18"/>
              </w:rPr>
              <w:t>A-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Locus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 (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Agouti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>)</w:t>
            </w:r>
          </w:p>
          <w:p w14:paraId="7D906373" w14:textId="77777777" w:rsidR="008E60A3" w:rsidRDefault="008E60A3" w:rsidP="00A21EE2">
            <w:pPr>
              <w:rPr>
                <w:rStyle w:val="datafield1"/>
                <w:sz w:val="18"/>
                <w:szCs w:val="18"/>
              </w:rPr>
            </w:pPr>
            <w:r>
              <w:rPr>
                <w:rStyle w:val="datafield1"/>
                <w:sz w:val="18"/>
                <w:szCs w:val="18"/>
              </w:rPr>
              <w:t>B-</w:t>
            </w:r>
            <w:proofErr w:type="spellStart"/>
            <w:r>
              <w:rPr>
                <w:rStyle w:val="datafield1"/>
                <w:sz w:val="18"/>
                <w:szCs w:val="18"/>
              </w:rPr>
              <w:t>Locus</w:t>
            </w:r>
            <w:proofErr w:type="spellEnd"/>
            <w:r>
              <w:rPr>
                <w:rStyle w:val="datafield1"/>
                <w:sz w:val="18"/>
                <w:szCs w:val="18"/>
              </w:rPr>
              <w:t xml:space="preserve"> (hnědá, čokoládová, </w:t>
            </w:r>
            <w:proofErr w:type="spellStart"/>
            <w:r>
              <w:rPr>
                <w:rStyle w:val="datafield1"/>
                <w:sz w:val="18"/>
                <w:szCs w:val="18"/>
              </w:rPr>
              <w:t>livernose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>)</w:t>
            </w:r>
          </w:p>
          <w:p w14:paraId="27441B61" w14:textId="77777777" w:rsidR="008E60A3" w:rsidRPr="00490199" w:rsidRDefault="008E60A3" w:rsidP="00A21EE2">
            <w:pPr>
              <w:rPr>
                <w:rStyle w:val="datafield1"/>
                <w:sz w:val="18"/>
                <w:szCs w:val="18"/>
              </w:rPr>
            </w:pPr>
            <w:r>
              <w:rPr>
                <w:rStyle w:val="datafield1"/>
                <w:sz w:val="18"/>
                <w:szCs w:val="18"/>
              </w:rPr>
              <w:t>C-</w:t>
            </w:r>
            <w:proofErr w:type="spellStart"/>
            <w:r>
              <w:rPr>
                <w:rStyle w:val="datafield1"/>
                <w:sz w:val="18"/>
                <w:szCs w:val="18"/>
              </w:rPr>
              <w:t>Locus</w:t>
            </w:r>
            <w:proofErr w:type="spellEnd"/>
            <w:r>
              <w:rPr>
                <w:rStyle w:val="datafield1"/>
                <w:sz w:val="18"/>
                <w:szCs w:val="18"/>
              </w:rPr>
              <w:t xml:space="preserve"> (Albino)</w:t>
            </w:r>
          </w:p>
          <w:p w14:paraId="7ADB2197" w14:textId="77777777" w:rsidR="008E60A3" w:rsidRDefault="008E60A3" w:rsidP="00A21EE2">
            <w:pPr>
              <w:rPr>
                <w:rStyle w:val="datafield1"/>
                <w:sz w:val="18"/>
                <w:szCs w:val="18"/>
              </w:rPr>
            </w:pPr>
            <w:r w:rsidRPr="00490199">
              <w:rPr>
                <w:rStyle w:val="datafield1"/>
                <w:sz w:val="18"/>
                <w:szCs w:val="18"/>
              </w:rPr>
              <w:t>D</w:t>
            </w:r>
            <w:r>
              <w:rPr>
                <w:rStyle w:val="datafield1"/>
                <w:sz w:val="18"/>
                <w:szCs w:val="18"/>
              </w:rPr>
              <w:t>1</w:t>
            </w:r>
            <w:r w:rsidRPr="00490199">
              <w:rPr>
                <w:rStyle w:val="datafield1"/>
                <w:sz w:val="18"/>
                <w:szCs w:val="18"/>
              </w:rPr>
              <w:t>-Locus (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Dilution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>)</w:t>
            </w:r>
          </w:p>
          <w:p w14:paraId="43A49764" w14:textId="77777777" w:rsidR="008E60A3" w:rsidRPr="00490199" w:rsidRDefault="008E60A3" w:rsidP="00A21EE2">
            <w:pPr>
              <w:rPr>
                <w:rStyle w:val="datafield1"/>
                <w:sz w:val="18"/>
                <w:szCs w:val="18"/>
              </w:rPr>
            </w:pPr>
            <w:r>
              <w:rPr>
                <w:rStyle w:val="datafield1"/>
                <w:sz w:val="18"/>
                <w:szCs w:val="18"/>
              </w:rPr>
              <w:t xml:space="preserve">D2-Locus (Čau-čau, RR, </w:t>
            </w:r>
            <w:proofErr w:type="spellStart"/>
            <w:r>
              <w:rPr>
                <w:rStyle w:val="datafield1"/>
                <w:sz w:val="18"/>
                <w:szCs w:val="18"/>
              </w:rPr>
              <w:t>Sloughi</w:t>
            </w:r>
            <w:proofErr w:type="spellEnd"/>
            <w:r>
              <w:rPr>
                <w:rStyle w:val="datafield1"/>
                <w:sz w:val="18"/>
                <w:szCs w:val="18"/>
              </w:rPr>
              <w:t>)</w:t>
            </w:r>
          </w:p>
          <w:p w14:paraId="1C50A2C9" w14:textId="77777777" w:rsidR="008E60A3" w:rsidRDefault="008E60A3" w:rsidP="00A21EE2">
            <w:pPr>
              <w:rPr>
                <w:rStyle w:val="datafield1"/>
                <w:sz w:val="18"/>
                <w:szCs w:val="18"/>
              </w:rPr>
            </w:pPr>
            <w:r w:rsidRPr="00490199">
              <w:rPr>
                <w:rStyle w:val="datafield1"/>
                <w:sz w:val="18"/>
                <w:szCs w:val="18"/>
              </w:rPr>
              <w:t>E</w:t>
            </w:r>
            <w:r>
              <w:rPr>
                <w:rStyle w:val="datafield1"/>
                <w:sz w:val="18"/>
                <w:szCs w:val="18"/>
              </w:rPr>
              <w:t>1</w:t>
            </w:r>
            <w:r w:rsidRPr="00490199">
              <w:rPr>
                <w:rStyle w:val="datafield1"/>
                <w:sz w:val="18"/>
                <w:szCs w:val="18"/>
              </w:rPr>
              <w:t>-Locus (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Coat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Colour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Yellow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, Lemon,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Red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,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Cream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,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Apricot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>)</w:t>
            </w:r>
            <w:r>
              <w:rPr>
                <w:rStyle w:val="datafield1"/>
                <w:sz w:val="18"/>
                <w:szCs w:val="18"/>
              </w:rPr>
              <w:t xml:space="preserve"> (Australský ovčák)</w:t>
            </w:r>
          </w:p>
          <w:p w14:paraId="5C81A91F" w14:textId="77777777" w:rsidR="008E60A3" w:rsidRPr="00490199" w:rsidRDefault="008E60A3" w:rsidP="00A21EE2">
            <w:pPr>
              <w:rPr>
                <w:rStyle w:val="datafield1"/>
                <w:sz w:val="18"/>
                <w:szCs w:val="18"/>
              </w:rPr>
            </w:pPr>
            <w:r w:rsidRPr="00490199">
              <w:rPr>
                <w:rStyle w:val="datafield1"/>
                <w:sz w:val="18"/>
                <w:szCs w:val="18"/>
              </w:rPr>
              <w:t>E</w:t>
            </w:r>
            <w:r>
              <w:rPr>
                <w:rStyle w:val="datafield1"/>
                <w:sz w:val="18"/>
                <w:szCs w:val="18"/>
              </w:rPr>
              <w:t>2</w:t>
            </w:r>
            <w:r w:rsidRPr="00490199">
              <w:rPr>
                <w:rStyle w:val="datafield1"/>
                <w:sz w:val="18"/>
                <w:szCs w:val="18"/>
              </w:rPr>
              <w:t>-Locus (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Coat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Colour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Yellow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, Lemon,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Red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,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Cream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,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Apricot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>)</w:t>
            </w:r>
            <w:r>
              <w:rPr>
                <w:rStyle w:val="datafield1"/>
                <w:sz w:val="18"/>
                <w:szCs w:val="18"/>
              </w:rPr>
              <w:t xml:space="preserve"> </w:t>
            </w:r>
          </w:p>
          <w:p w14:paraId="7541FBA0" w14:textId="77777777" w:rsidR="008E60A3" w:rsidRPr="00490199" w:rsidRDefault="008E60A3" w:rsidP="00A21EE2">
            <w:pPr>
              <w:rPr>
                <w:rStyle w:val="datafield1"/>
                <w:sz w:val="18"/>
                <w:szCs w:val="18"/>
              </w:rPr>
            </w:pPr>
            <w:r w:rsidRPr="00490199">
              <w:rPr>
                <w:rStyle w:val="datafield1"/>
                <w:sz w:val="18"/>
                <w:szCs w:val="18"/>
              </w:rPr>
              <w:t>EM-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Locus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 (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Melanistic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Mask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 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Allele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)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F228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BB8F4" w14:textId="4FC97BA5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1436,00</w:t>
            </w:r>
          </w:p>
          <w:p w14:paraId="68AA58A3" w14:textId="77777777" w:rsidR="008E60A3" w:rsidRDefault="008E60A3" w:rsidP="008E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1436,00</w:t>
            </w:r>
          </w:p>
          <w:p w14:paraId="6A1763D7" w14:textId="77777777" w:rsidR="008E60A3" w:rsidRDefault="008E60A3" w:rsidP="008E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1436,00</w:t>
            </w:r>
          </w:p>
          <w:p w14:paraId="1E5E2E43" w14:textId="77777777" w:rsidR="008E60A3" w:rsidRDefault="008E60A3" w:rsidP="008E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1436,00</w:t>
            </w:r>
          </w:p>
          <w:p w14:paraId="1E217D2F" w14:textId="77777777" w:rsidR="008E60A3" w:rsidRDefault="008E60A3" w:rsidP="008E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1436,00</w:t>
            </w:r>
          </w:p>
          <w:p w14:paraId="05CC3A70" w14:textId="77777777" w:rsidR="008E60A3" w:rsidRDefault="008E60A3" w:rsidP="008E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1436,00</w:t>
            </w:r>
          </w:p>
          <w:p w14:paraId="06EA7D4F" w14:textId="77777777" w:rsidR="008E60A3" w:rsidRDefault="008E60A3" w:rsidP="008E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1436,00</w:t>
            </w:r>
          </w:p>
          <w:p w14:paraId="6CD5F007" w14:textId="77777777" w:rsidR="008E60A3" w:rsidRDefault="008E60A3" w:rsidP="008E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1436,00</w:t>
            </w:r>
          </w:p>
          <w:p w14:paraId="7FD2A4EE" w14:textId="77777777" w:rsidR="008E60A3" w:rsidRDefault="008E60A3" w:rsidP="008E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1436,00</w:t>
            </w:r>
          </w:p>
          <w:p w14:paraId="09BE6F58" w14:textId="4F0E44BB" w:rsidR="008E60A3" w:rsidRDefault="008E60A3" w:rsidP="008E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23325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A310AC6" w14:textId="364D5CB3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2BACA57F" w14:textId="77777777" w:rsidR="008E60A3" w:rsidRDefault="008E60A3" w:rsidP="008E60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1955C21F" w14:textId="77777777" w:rsidR="008E60A3" w:rsidRDefault="008E60A3" w:rsidP="008E60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0A04CF98" w14:textId="77777777" w:rsidR="008E60A3" w:rsidRDefault="008E60A3" w:rsidP="008E60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759CB3C3" w14:textId="77777777" w:rsidR="008E60A3" w:rsidRDefault="008E60A3" w:rsidP="008E60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17A92CDD" w14:textId="77777777" w:rsidR="008E60A3" w:rsidRDefault="008E60A3" w:rsidP="008E60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502AD8DA" w14:textId="77777777" w:rsidR="008E60A3" w:rsidRDefault="008E60A3" w:rsidP="008E60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16CDF060" w14:textId="77777777" w:rsidR="008E60A3" w:rsidRDefault="008E60A3" w:rsidP="008E60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758B49CB" w14:textId="77777777" w:rsidR="008E60A3" w:rsidRDefault="008E60A3" w:rsidP="008E60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  <w:p w14:paraId="2BD68953" w14:textId="02EC4283" w:rsidR="008E60A3" w:rsidRDefault="008E60A3" w:rsidP="008E60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</w:tr>
      <w:tr w:rsidR="008E60A3" w14:paraId="083F0C82" w14:textId="77777777" w:rsidTr="00A21EE2">
        <w:trPr>
          <w:cantSplit/>
          <w:trHeight w:val="57"/>
        </w:trPr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D9E3" w14:textId="77777777" w:rsidR="008E60A3" w:rsidRDefault="008E60A3" w:rsidP="00A21EE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AA3F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4386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 w:rsidRPr="00490199">
              <w:rPr>
                <w:b/>
                <w:sz w:val="18"/>
                <w:szCs w:val="18"/>
              </w:rPr>
              <w:t>Genetické vyšetření</w:t>
            </w:r>
          </w:p>
          <w:p w14:paraId="584B1F87" w14:textId="77777777" w:rsidR="008E60A3" w:rsidRPr="00490199" w:rsidRDefault="008E60A3" w:rsidP="00A21EE2">
            <w:pPr>
              <w:rPr>
                <w:rStyle w:val="datafield1"/>
                <w:sz w:val="18"/>
                <w:szCs w:val="18"/>
              </w:rPr>
            </w:pPr>
            <w:r w:rsidRPr="00490199">
              <w:rPr>
                <w:rStyle w:val="datafield1"/>
                <w:sz w:val="18"/>
                <w:szCs w:val="18"/>
              </w:rPr>
              <w:t>A-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Locus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 (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Agouti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>)</w:t>
            </w:r>
          </w:p>
          <w:p w14:paraId="5505728E" w14:textId="77777777" w:rsidR="008E60A3" w:rsidRPr="00490199" w:rsidRDefault="008E60A3" w:rsidP="00A21EE2">
            <w:pPr>
              <w:rPr>
                <w:rStyle w:val="datafield1"/>
                <w:sz w:val="18"/>
                <w:szCs w:val="18"/>
              </w:rPr>
            </w:pPr>
            <w:r>
              <w:rPr>
                <w:rStyle w:val="datafield1"/>
                <w:sz w:val="18"/>
                <w:szCs w:val="18"/>
              </w:rPr>
              <w:t>B-</w:t>
            </w:r>
            <w:proofErr w:type="spellStart"/>
            <w:r>
              <w:rPr>
                <w:rStyle w:val="datafield1"/>
                <w:sz w:val="18"/>
                <w:szCs w:val="18"/>
              </w:rPr>
              <w:t>Locus</w:t>
            </w:r>
            <w:proofErr w:type="spellEnd"/>
            <w:r>
              <w:rPr>
                <w:rStyle w:val="datafield1"/>
                <w:sz w:val="18"/>
                <w:szCs w:val="18"/>
              </w:rPr>
              <w:t xml:space="preserve"> (vloha pro hnědou</w:t>
            </w:r>
            <w:r w:rsidRPr="00490199">
              <w:rPr>
                <w:rStyle w:val="datafield1"/>
                <w:sz w:val="18"/>
                <w:szCs w:val="18"/>
              </w:rPr>
              <w:t>)</w:t>
            </w:r>
          </w:p>
          <w:p w14:paraId="4D089CBC" w14:textId="77777777" w:rsidR="008E60A3" w:rsidRDefault="008E60A3" w:rsidP="00A21EE2">
            <w:pPr>
              <w:rPr>
                <w:rStyle w:val="datafield1"/>
                <w:sz w:val="18"/>
                <w:szCs w:val="18"/>
              </w:rPr>
            </w:pPr>
            <w:r w:rsidRPr="00490199">
              <w:rPr>
                <w:rStyle w:val="datafield1"/>
                <w:sz w:val="18"/>
                <w:szCs w:val="18"/>
              </w:rPr>
              <w:t>D-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Locus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 xml:space="preserve"> (</w:t>
            </w:r>
            <w:proofErr w:type="spellStart"/>
            <w:r w:rsidRPr="00490199">
              <w:rPr>
                <w:rStyle w:val="datafield1"/>
                <w:sz w:val="18"/>
                <w:szCs w:val="18"/>
              </w:rPr>
              <w:t>Dilution</w:t>
            </w:r>
            <w:proofErr w:type="spellEnd"/>
            <w:r w:rsidRPr="00490199">
              <w:rPr>
                <w:rStyle w:val="datafield1"/>
                <w:sz w:val="18"/>
                <w:szCs w:val="18"/>
              </w:rPr>
              <w:t>)</w:t>
            </w:r>
          </w:p>
          <w:p w14:paraId="5E71A865" w14:textId="77777777" w:rsidR="008E60A3" w:rsidRDefault="008E60A3" w:rsidP="00A21EE2">
            <w:pPr>
              <w:rPr>
                <w:rStyle w:val="datafield1"/>
                <w:sz w:val="18"/>
                <w:szCs w:val="18"/>
              </w:rPr>
            </w:pPr>
            <w:r>
              <w:rPr>
                <w:rStyle w:val="datafield1"/>
                <w:sz w:val="18"/>
                <w:szCs w:val="18"/>
              </w:rPr>
              <w:t>E-</w:t>
            </w:r>
            <w:proofErr w:type="spellStart"/>
            <w:r>
              <w:rPr>
                <w:rStyle w:val="datafield1"/>
                <w:sz w:val="18"/>
                <w:szCs w:val="18"/>
              </w:rPr>
              <w:t>Locus</w:t>
            </w:r>
            <w:proofErr w:type="spellEnd"/>
            <w:r>
              <w:rPr>
                <w:rStyle w:val="datafield1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datafield1"/>
                <w:sz w:val="18"/>
                <w:szCs w:val="18"/>
              </w:rPr>
              <w:t>Extension</w:t>
            </w:r>
            <w:proofErr w:type="spellEnd"/>
            <w:r>
              <w:rPr>
                <w:rStyle w:val="datafield1"/>
                <w:sz w:val="18"/>
                <w:szCs w:val="18"/>
              </w:rPr>
              <w:t>-recesivní varianta e)</w:t>
            </w:r>
          </w:p>
          <w:p w14:paraId="49560B33" w14:textId="77777777" w:rsidR="008E60A3" w:rsidRDefault="008E60A3" w:rsidP="00A21EE2">
            <w:pPr>
              <w:rPr>
                <w:rStyle w:val="datafield1"/>
                <w:sz w:val="18"/>
                <w:szCs w:val="18"/>
              </w:rPr>
            </w:pPr>
            <w:r>
              <w:rPr>
                <w:rStyle w:val="datafield1"/>
                <w:sz w:val="18"/>
                <w:szCs w:val="18"/>
              </w:rPr>
              <w:t>K-</w:t>
            </w:r>
            <w:proofErr w:type="spellStart"/>
            <w:r>
              <w:rPr>
                <w:rStyle w:val="datafield1"/>
                <w:sz w:val="18"/>
                <w:szCs w:val="18"/>
              </w:rPr>
              <w:t>Locus</w:t>
            </w:r>
            <w:proofErr w:type="spellEnd"/>
            <w:r>
              <w:rPr>
                <w:rStyle w:val="datafield1"/>
                <w:sz w:val="18"/>
                <w:szCs w:val="18"/>
              </w:rPr>
              <w:t xml:space="preserve"> K</w:t>
            </w:r>
          </w:p>
          <w:p w14:paraId="04F87B92" w14:textId="77777777" w:rsidR="008E60A3" w:rsidRDefault="008E60A3" w:rsidP="00A21EE2">
            <w:pPr>
              <w:rPr>
                <w:rStyle w:val="datafield1"/>
                <w:sz w:val="18"/>
                <w:szCs w:val="18"/>
              </w:rPr>
            </w:pPr>
            <w:r>
              <w:rPr>
                <w:rStyle w:val="datafield1"/>
                <w:sz w:val="18"/>
                <w:szCs w:val="18"/>
              </w:rPr>
              <w:t>M-</w:t>
            </w:r>
            <w:proofErr w:type="spellStart"/>
            <w:r>
              <w:rPr>
                <w:rStyle w:val="datafield1"/>
                <w:sz w:val="18"/>
                <w:szCs w:val="18"/>
              </w:rPr>
              <w:t>Locus</w:t>
            </w:r>
            <w:proofErr w:type="spellEnd"/>
            <w:r>
              <w:rPr>
                <w:rStyle w:val="datafield1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datafield1"/>
                <w:sz w:val="18"/>
                <w:szCs w:val="18"/>
              </w:rPr>
              <w:t>Merle</w:t>
            </w:r>
            <w:proofErr w:type="spellEnd"/>
            <w:r>
              <w:rPr>
                <w:rStyle w:val="datafield1"/>
                <w:sz w:val="18"/>
                <w:szCs w:val="18"/>
              </w:rPr>
              <w:t>)</w:t>
            </w:r>
          </w:p>
          <w:p w14:paraId="4BA953EC" w14:textId="77777777" w:rsidR="008E60A3" w:rsidRPr="00AA74C8" w:rsidRDefault="008E60A3" w:rsidP="00A21EE2">
            <w:pPr>
              <w:rPr>
                <w:color w:val="000000"/>
                <w:sz w:val="18"/>
                <w:szCs w:val="18"/>
              </w:rPr>
            </w:pPr>
            <w:r>
              <w:rPr>
                <w:rStyle w:val="datafield1"/>
                <w:sz w:val="18"/>
                <w:szCs w:val="18"/>
              </w:rPr>
              <w:t>A+B+D+E+K-</w:t>
            </w:r>
            <w:proofErr w:type="spellStart"/>
            <w:r>
              <w:rPr>
                <w:rStyle w:val="datafield1"/>
                <w:sz w:val="18"/>
                <w:szCs w:val="18"/>
              </w:rPr>
              <w:t>Locus</w:t>
            </w:r>
            <w:proofErr w:type="spellEnd"/>
            <w:r>
              <w:rPr>
                <w:rStyle w:val="datafield1"/>
                <w:sz w:val="18"/>
                <w:szCs w:val="18"/>
              </w:rPr>
              <w:t xml:space="preserve"> (kombi. test)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05744E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Genomia, ČR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4B999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1319,00</w:t>
            </w:r>
          </w:p>
          <w:p w14:paraId="354F499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1319,00</w:t>
            </w:r>
          </w:p>
          <w:p w14:paraId="3DC6C75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1319,00</w:t>
            </w:r>
          </w:p>
          <w:p w14:paraId="0DDA829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1319,00</w:t>
            </w:r>
          </w:p>
          <w:p w14:paraId="12D0ABD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1319,00</w:t>
            </w:r>
          </w:p>
          <w:p w14:paraId="6A5DB19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1319,00</w:t>
            </w:r>
          </w:p>
          <w:p w14:paraId="2773078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5566,00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2F4DB2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51,00</w:t>
            </w:r>
          </w:p>
          <w:p w14:paraId="06882C7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51,00</w:t>
            </w:r>
          </w:p>
          <w:p w14:paraId="311F1ED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51,00</w:t>
            </w:r>
          </w:p>
          <w:p w14:paraId="11EED26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51,00</w:t>
            </w:r>
          </w:p>
          <w:p w14:paraId="120A556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51,00</w:t>
            </w:r>
          </w:p>
          <w:p w14:paraId="317B376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51,00</w:t>
            </w:r>
          </w:p>
          <w:p w14:paraId="5F0970F3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214,00</w:t>
            </w:r>
          </w:p>
        </w:tc>
      </w:tr>
      <w:tr w:rsidR="008E60A3" w14:paraId="5C379C19" w14:textId="77777777" w:rsidTr="00A21EE2">
        <w:trPr>
          <w:trHeight w:val="54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CF9A82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Bezsrstost</w:t>
            </w:r>
            <w:proofErr w:type="spellEnd"/>
          </w:p>
          <w:p w14:paraId="386771C7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Hairlessness</w:t>
            </w:r>
            <w:proofErr w:type="spellEnd"/>
            <w:r>
              <w:rPr>
                <w:b/>
                <w:sz w:val="18"/>
                <w:szCs w:val="18"/>
              </w:rPr>
              <w:t xml:space="preserve"> Test)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849F34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C8BC5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44EAE466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mutace: Americký </w:t>
            </w:r>
            <w:proofErr w:type="spellStart"/>
            <w:r>
              <w:rPr>
                <w:sz w:val="16"/>
                <w:szCs w:val="16"/>
              </w:rPr>
              <w:t>bezsrstý</w:t>
            </w:r>
            <w:proofErr w:type="spellEnd"/>
            <w:r>
              <w:rPr>
                <w:sz w:val="16"/>
                <w:szCs w:val="16"/>
              </w:rPr>
              <w:t xml:space="preserve"> teriér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031C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>, USA*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0BC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E3DA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6D31E2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68,00</w:t>
            </w:r>
          </w:p>
        </w:tc>
      </w:tr>
      <w:tr w:rsidR="008E60A3" w14:paraId="601B2523" w14:textId="77777777" w:rsidTr="00A21EE2">
        <w:trPr>
          <w:trHeight w:val="52"/>
        </w:trPr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6C4931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40BC0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A79F0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4A4CFC4" w14:textId="77777777" w:rsidR="008E60A3" w:rsidRDefault="008E60A3" w:rsidP="00A21EE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detekce mutace: Čínský chocholatý pes, Mexický naháč, Peruánský naháč</w:t>
            </w:r>
          </w:p>
          <w:p w14:paraId="51C37B7A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 w:rsidRPr="005D510C">
              <w:rPr>
                <w:b/>
                <w:sz w:val="16"/>
                <w:szCs w:val="16"/>
              </w:rPr>
              <w:t>certifikát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D90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B5FC" w14:textId="2B81FB5F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838D0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53E07995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53EB0" w14:textId="5DAF1E13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838D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0F62E5E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5D93829C" w14:textId="77777777" w:rsidTr="00A21EE2">
        <w:trPr>
          <w:trHeight w:val="52"/>
        </w:trPr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9579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AEE9B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827FC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7432AB9C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detekce mutace: Americký </w:t>
            </w:r>
            <w:proofErr w:type="spellStart"/>
            <w:r>
              <w:rPr>
                <w:sz w:val="16"/>
                <w:szCs w:val="16"/>
              </w:rPr>
              <w:t>bezsrstý</w:t>
            </w:r>
            <w:proofErr w:type="spellEnd"/>
            <w:r>
              <w:rPr>
                <w:sz w:val="16"/>
                <w:szCs w:val="16"/>
              </w:rPr>
              <w:t xml:space="preserve"> teriér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814C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Gnomia</w:t>
            </w:r>
            <w:proofErr w:type="spellEnd"/>
            <w:r>
              <w:rPr>
                <w:sz w:val="18"/>
                <w:szCs w:val="18"/>
              </w:rPr>
              <w:t>,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23BE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EEF6A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</w:tr>
      <w:tr w:rsidR="008E60A3" w14:paraId="6EB81690" w14:textId="77777777" w:rsidTr="00A21EE2">
        <w:trPr>
          <w:trHeight w:val="52"/>
        </w:trPr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670FC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97D5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BA4DF2" w14:textId="77777777" w:rsidR="008E60A3" w:rsidRPr="00CE031B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6D4D007F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detekce mutace: Čínský chocholatý pes, Mexický naháč, Peruánský naháč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023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60DF5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24905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</w:tr>
      <w:tr w:rsidR="008E60A3" w14:paraId="2439912F" w14:textId="77777777" w:rsidTr="00A21EE2">
        <w:trPr>
          <w:trHeight w:val="5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672AC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Collie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Eye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Anomaly</w:t>
            </w:r>
            <w:proofErr w:type="spellEnd"/>
            <w:r>
              <w:rPr>
                <w:b/>
                <w:sz w:val="18"/>
                <w:szCs w:val="18"/>
              </w:rPr>
              <w:t xml:space="preserve"> (CEA)</w:t>
            </w:r>
          </w:p>
          <w:p w14:paraId="54A9FABD" w14:textId="77777777" w:rsidR="008E60A3" w:rsidRDefault="008E60A3" w:rsidP="00A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(anomálie očí u kolií)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4FEBA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E5C9" w14:textId="77777777" w:rsidR="008E60A3" w:rsidRDefault="008E60A3" w:rsidP="00A21EE2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0DF81D0D" w14:textId="77777777" w:rsidR="008E60A3" w:rsidRDefault="008E60A3" w:rsidP="00A21E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CEA mutace: dlouhosrstá kolie, krátkosrstá kolie, </w:t>
            </w:r>
            <w:proofErr w:type="spellStart"/>
            <w:r>
              <w:rPr>
                <w:sz w:val="16"/>
                <w:szCs w:val="16"/>
              </w:rPr>
              <w:t>Border</w:t>
            </w:r>
            <w:proofErr w:type="spellEnd"/>
            <w:r>
              <w:rPr>
                <w:sz w:val="16"/>
                <w:szCs w:val="16"/>
              </w:rPr>
              <w:t xml:space="preserve"> kolie, Australský ovčák, </w:t>
            </w:r>
            <w:proofErr w:type="spellStart"/>
            <w:r>
              <w:rPr>
                <w:sz w:val="16"/>
                <w:szCs w:val="16"/>
              </w:rPr>
              <w:t>Sheltie</w:t>
            </w:r>
            <w:proofErr w:type="spellEnd"/>
            <w:r>
              <w:rPr>
                <w:sz w:val="16"/>
                <w:szCs w:val="16"/>
              </w:rPr>
              <w:t xml:space="preserve">, dlouhosrstý </w:t>
            </w:r>
            <w:proofErr w:type="spellStart"/>
            <w:r>
              <w:rPr>
                <w:sz w:val="16"/>
                <w:szCs w:val="16"/>
              </w:rPr>
              <w:t>Vipet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boykin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španěl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Hokkaido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lancashirský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patař</w:t>
            </w:r>
            <w:proofErr w:type="spellEnd"/>
            <w:r>
              <w:rPr>
                <w:sz w:val="16"/>
                <w:szCs w:val="16"/>
              </w:rPr>
              <w:t>, NSDT retrívr</w:t>
            </w:r>
          </w:p>
          <w:p w14:paraId="027F24B6" w14:textId="77777777" w:rsidR="008E60A3" w:rsidRPr="00BA3A29" w:rsidRDefault="008E60A3" w:rsidP="00A21EE2">
            <w:pPr>
              <w:jc w:val="both"/>
              <w:rPr>
                <w:b/>
                <w:sz w:val="18"/>
                <w:szCs w:val="18"/>
              </w:rPr>
            </w:pPr>
            <w:r w:rsidRPr="00BA3A29">
              <w:rPr>
                <w:b/>
                <w:sz w:val="18"/>
                <w:szCs w:val="18"/>
              </w:rPr>
              <w:t>partnerská laboratoř</w:t>
            </w:r>
          </w:p>
          <w:p w14:paraId="62B01B4E" w14:textId="77777777" w:rsidR="008E60A3" w:rsidRDefault="008E60A3" w:rsidP="00A21E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145A3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CD63A36" w14:textId="2E78CEE9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838D0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01840CFA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1F280C0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F422CD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8BF8A1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721D84A" w14:textId="71C375BE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838D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18738ECA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76A24A7A" w14:textId="77777777" w:rsidTr="00A21EE2">
        <w:trPr>
          <w:trHeight w:val="105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837B96" w14:textId="77777777" w:rsidR="008E60A3" w:rsidRDefault="008E60A3" w:rsidP="00A21EE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Centronuclear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myopathy</w:t>
            </w:r>
            <w:proofErr w:type="spellEnd"/>
            <w:r>
              <w:rPr>
                <w:b/>
                <w:sz w:val="18"/>
                <w:szCs w:val="18"/>
              </w:rPr>
              <w:t xml:space="preserve"> (CNM)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28F63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7A9C2E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12C688C0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mutace: Labradorský </w:t>
            </w:r>
            <w:proofErr w:type="spellStart"/>
            <w:r>
              <w:rPr>
                <w:sz w:val="16"/>
                <w:szCs w:val="16"/>
              </w:rPr>
              <w:t>retríver</w:t>
            </w:r>
            <w:proofErr w:type="spellEnd"/>
            <w:r>
              <w:rPr>
                <w:sz w:val="16"/>
                <w:szCs w:val="16"/>
              </w:rPr>
              <w:t>, Německá doga</w:t>
            </w:r>
          </w:p>
          <w:p w14:paraId="6578F7DA" w14:textId="77777777" w:rsidR="008E60A3" w:rsidRDefault="008E60A3" w:rsidP="00A21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58A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C2066" w14:textId="75A82563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619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00538F0C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765C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A006756" w14:textId="31649B2C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9261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3C893425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293BC7FC" w14:textId="77777777" w:rsidTr="00A21EE2">
        <w:trPr>
          <w:trHeight w:val="105"/>
        </w:trPr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01EC2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DCCE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BBACFD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19E8642B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detekce mutace: Labradorský </w:t>
            </w:r>
            <w:proofErr w:type="spellStart"/>
            <w:r>
              <w:rPr>
                <w:sz w:val="16"/>
                <w:szCs w:val="16"/>
              </w:rPr>
              <w:t>retríver</w:t>
            </w:r>
            <w:proofErr w:type="spellEnd"/>
            <w:r>
              <w:rPr>
                <w:sz w:val="16"/>
                <w:szCs w:val="16"/>
              </w:rPr>
              <w:t>,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7BA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Genomia,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F415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B26CA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</w:tr>
      <w:tr w:rsidR="008E60A3" w14:paraId="43C78F24" w14:textId="77777777" w:rsidTr="00A21EE2">
        <w:trPr>
          <w:trHeight w:val="5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3D5A7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CSNB / Night </w:t>
            </w:r>
            <w:proofErr w:type="spellStart"/>
            <w:r>
              <w:rPr>
                <w:b/>
                <w:sz w:val="18"/>
                <w:szCs w:val="18"/>
              </w:rPr>
              <w:t>Blindness</w:t>
            </w:r>
            <w:proofErr w:type="spellEnd"/>
            <w:r>
              <w:rPr>
                <w:b/>
                <w:sz w:val="18"/>
                <w:szCs w:val="18"/>
              </w:rPr>
              <w:t xml:space="preserve"> (kongenitální noční slepota)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84FF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0B0F0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2410CAEB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mutace RPE65genu </w:t>
            </w:r>
            <w:proofErr w:type="spellStart"/>
            <w:r>
              <w:rPr>
                <w:sz w:val="16"/>
                <w:szCs w:val="16"/>
              </w:rPr>
              <w:t>CSNB:Briard</w:t>
            </w:r>
            <w:proofErr w:type="spellEnd"/>
          </w:p>
          <w:p w14:paraId="33456A25" w14:textId="77777777" w:rsidR="008E60A3" w:rsidRDefault="008E60A3" w:rsidP="00A21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DFF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CD381" w14:textId="2646AD1E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619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06FAC320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C4C22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</w:p>
          <w:p w14:paraId="21A1A652" w14:textId="500AE4DC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9261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517655D4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4D35B1F7" w14:textId="77777777" w:rsidTr="00A21EE2">
        <w:trPr>
          <w:trHeight w:val="5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B2BD9" w14:textId="77777777" w:rsidR="008E60A3" w:rsidRPr="004A5AA9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A5AA9">
              <w:rPr>
                <w:b/>
                <w:sz w:val="18"/>
                <w:szCs w:val="18"/>
              </w:rPr>
              <w:t>Degenerative</w:t>
            </w:r>
            <w:proofErr w:type="spellEnd"/>
            <w:r w:rsidRPr="004A5A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A5AA9">
              <w:rPr>
                <w:b/>
                <w:sz w:val="18"/>
                <w:szCs w:val="18"/>
              </w:rPr>
              <w:t>Myelopathy</w:t>
            </w:r>
            <w:proofErr w:type="spellEnd"/>
            <w:r w:rsidRPr="004A5AA9">
              <w:rPr>
                <w:b/>
                <w:sz w:val="18"/>
                <w:szCs w:val="18"/>
              </w:rPr>
              <w:t xml:space="preserve"> </w:t>
            </w:r>
          </w:p>
          <w:p w14:paraId="625E0084" w14:textId="77777777" w:rsidR="008E60A3" w:rsidRPr="004A5AA9" w:rsidRDefault="008E60A3" w:rsidP="00A21EE2">
            <w:pPr>
              <w:jc w:val="center"/>
              <w:rPr>
                <w:b/>
                <w:sz w:val="18"/>
                <w:szCs w:val="18"/>
              </w:rPr>
            </w:pPr>
            <w:r w:rsidRPr="004A5AA9">
              <w:rPr>
                <w:b/>
                <w:sz w:val="18"/>
                <w:szCs w:val="18"/>
              </w:rPr>
              <w:t>(DM)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BC3E" w14:textId="77777777" w:rsidR="008E60A3" w:rsidRPr="004A5AA9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4A5AA9">
              <w:rPr>
                <w:sz w:val="18"/>
                <w:szCs w:val="18"/>
              </w:rPr>
              <w:t>cytobrush</w:t>
            </w:r>
            <w:proofErr w:type="spellEnd"/>
            <w:r w:rsidRPr="004A5AA9"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6CC3" w14:textId="77777777" w:rsidR="008E60A3" w:rsidRPr="004A5AA9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 w:rsidRPr="004A5AA9">
              <w:rPr>
                <w:b/>
                <w:sz w:val="18"/>
                <w:szCs w:val="18"/>
              </w:rPr>
              <w:t>Genetické vyšetření</w:t>
            </w:r>
          </w:p>
          <w:p w14:paraId="524977AA" w14:textId="77777777" w:rsidR="008E60A3" w:rsidRDefault="008E60A3" w:rsidP="00A21EE2">
            <w:pPr>
              <w:rPr>
                <w:sz w:val="16"/>
                <w:szCs w:val="16"/>
              </w:rPr>
            </w:pPr>
            <w:r w:rsidRPr="004A5AA9">
              <w:rPr>
                <w:sz w:val="16"/>
                <w:szCs w:val="16"/>
              </w:rPr>
              <w:t xml:space="preserve">detekce DM mutace: </w:t>
            </w:r>
            <w:r>
              <w:rPr>
                <w:sz w:val="16"/>
                <w:szCs w:val="16"/>
              </w:rPr>
              <w:t>EXON 2(</w:t>
            </w:r>
            <w:r w:rsidRPr="004A5AA9">
              <w:rPr>
                <w:sz w:val="16"/>
                <w:szCs w:val="16"/>
              </w:rPr>
              <w:t>všechna plemena</w:t>
            </w:r>
            <w:r>
              <w:rPr>
                <w:sz w:val="16"/>
                <w:szCs w:val="16"/>
              </w:rPr>
              <w:t>)</w:t>
            </w:r>
          </w:p>
          <w:p w14:paraId="6780944A" w14:textId="77777777" w:rsidR="008E60A3" w:rsidRPr="004A5AA9" w:rsidRDefault="008E60A3" w:rsidP="00A21EE2">
            <w:pPr>
              <w:rPr>
                <w:sz w:val="16"/>
                <w:szCs w:val="16"/>
              </w:rPr>
            </w:pPr>
            <w:r w:rsidRPr="004A5AA9">
              <w:rPr>
                <w:sz w:val="16"/>
                <w:szCs w:val="16"/>
              </w:rPr>
              <w:t xml:space="preserve">detekce DM mutace: </w:t>
            </w:r>
            <w:r>
              <w:rPr>
                <w:sz w:val="16"/>
                <w:szCs w:val="16"/>
              </w:rPr>
              <w:t>EXON 1(BSP)</w:t>
            </w:r>
          </w:p>
          <w:p w14:paraId="4AC5CB6D" w14:textId="77777777" w:rsidR="008E60A3" w:rsidRPr="004A5AA9" w:rsidRDefault="008E60A3" w:rsidP="00A21EE2">
            <w:pPr>
              <w:rPr>
                <w:b/>
                <w:sz w:val="18"/>
                <w:szCs w:val="18"/>
              </w:rPr>
            </w:pPr>
            <w:r w:rsidRPr="004A5AA9"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19E7B2" w14:textId="77777777" w:rsidR="008E60A3" w:rsidRPr="004A5AA9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 w:rsidRPr="004A5AA9"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DA5BF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  <w:r w:rsidRPr="004A5AA9">
              <w:rPr>
                <w:sz w:val="18"/>
                <w:szCs w:val="18"/>
              </w:rPr>
              <w:t>,00</w:t>
            </w:r>
          </w:p>
          <w:p w14:paraId="490838A7" w14:textId="068A7B3D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3546">
              <w:rPr>
                <w:sz w:val="18"/>
                <w:szCs w:val="18"/>
              </w:rPr>
              <w:t>436</w:t>
            </w:r>
            <w:r w:rsidRPr="004A5AA9">
              <w:rPr>
                <w:sz w:val="18"/>
                <w:szCs w:val="18"/>
              </w:rPr>
              <w:t>,00</w:t>
            </w:r>
          </w:p>
          <w:p w14:paraId="5B72319D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6E630CC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7EAD70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  <w:p w14:paraId="5747137C" w14:textId="5254863C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3354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5CC358E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6666E80E" w14:textId="77777777" w:rsidTr="00A21EE2">
        <w:trPr>
          <w:trHeight w:val="210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F91EBC" w14:textId="77777777" w:rsidR="008E60A3" w:rsidRPr="004A5AA9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Dwarfismus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1CC925" w14:textId="77777777" w:rsidR="008E60A3" w:rsidRPr="004A5AA9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4A5AA9">
              <w:rPr>
                <w:sz w:val="18"/>
                <w:szCs w:val="18"/>
              </w:rPr>
              <w:t>cytobrush</w:t>
            </w:r>
            <w:proofErr w:type="spellEnd"/>
            <w:r w:rsidRPr="004A5AA9"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D68C7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0489A06B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mutace: Německý ovčák, </w:t>
            </w:r>
            <w:proofErr w:type="spellStart"/>
            <w:r>
              <w:rPr>
                <w:sz w:val="16"/>
                <w:szCs w:val="16"/>
              </w:rPr>
              <w:t>Saarloosův</w:t>
            </w:r>
            <w:proofErr w:type="spellEnd"/>
            <w:r>
              <w:rPr>
                <w:sz w:val="16"/>
                <w:szCs w:val="16"/>
              </w:rPr>
              <w:t xml:space="preserve"> vlčák, </w:t>
            </w:r>
            <w:proofErr w:type="spellStart"/>
            <w:r>
              <w:rPr>
                <w:sz w:val="16"/>
                <w:szCs w:val="16"/>
              </w:rPr>
              <w:t>Českoslvenský</w:t>
            </w:r>
            <w:proofErr w:type="spellEnd"/>
            <w:r>
              <w:rPr>
                <w:sz w:val="16"/>
                <w:szCs w:val="16"/>
              </w:rPr>
              <w:t xml:space="preserve"> vlčák</w:t>
            </w:r>
          </w:p>
          <w:p w14:paraId="2EDBE1BE" w14:textId="77777777" w:rsidR="008E60A3" w:rsidRPr="004A5AA9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0AB1" w14:textId="77777777" w:rsidR="008E60A3" w:rsidRPr="004A5AA9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 w:rsidRPr="004A5AA9"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70BE2" w14:textId="7CA520D8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3546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3B6F9FF0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794ED" w14:textId="5E574D29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3354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6EF920A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0CB17FB5" w14:textId="77777777" w:rsidTr="00A21EE2">
        <w:trPr>
          <w:trHeight w:val="390"/>
        </w:trPr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E15A3F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FF1B7" w14:textId="77777777" w:rsidR="008E60A3" w:rsidRPr="004A5AA9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F8B041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448E7EFC" w14:textId="77777777" w:rsidR="008E60A3" w:rsidRPr="00987A02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mutace: Německý ovčák, </w:t>
            </w:r>
            <w:proofErr w:type="spellStart"/>
            <w:r>
              <w:rPr>
                <w:sz w:val="16"/>
                <w:szCs w:val="16"/>
              </w:rPr>
              <w:t>Saarloosův</w:t>
            </w:r>
            <w:proofErr w:type="spellEnd"/>
            <w:r>
              <w:rPr>
                <w:sz w:val="16"/>
                <w:szCs w:val="16"/>
              </w:rPr>
              <w:t xml:space="preserve"> vlčák, </w:t>
            </w:r>
            <w:proofErr w:type="spellStart"/>
            <w:r>
              <w:rPr>
                <w:sz w:val="16"/>
                <w:szCs w:val="16"/>
              </w:rPr>
              <w:t>Českoslvenský</w:t>
            </w:r>
            <w:proofErr w:type="spellEnd"/>
            <w:r>
              <w:rPr>
                <w:sz w:val="16"/>
                <w:szCs w:val="16"/>
              </w:rPr>
              <w:t xml:space="preserve"> vlčák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6D6E" w14:textId="77777777" w:rsidR="008E60A3" w:rsidRPr="004A5AA9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Genomia,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CD50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519F4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</w:tr>
      <w:tr w:rsidR="008E60A3" w14:paraId="2D156A2D" w14:textId="77777777" w:rsidTr="00A21EE2">
        <w:trPr>
          <w:trHeight w:val="390"/>
        </w:trPr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D02F8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7B11F" w14:textId="77777777" w:rsidR="008E60A3" w:rsidRPr="004A5AA9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82C19D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304A6539" w14:textId="77777777" w:rsidR="008E60A3" w:rsidRPr="00987A02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mutace: </w:t>
            </w:r>
            <w:proofErr w:type="spellStart"/>
            <w:r>
              <w:rPr>
                <w:sz w:val="16"/>
                <w:szCs w:val="16"/>
              </w:rPr>
              <w:t>sleletální</w:t>
            </w:r>
            <w:proofErr w:type="spellEnd"/>
            <w:r>
              <w:rPr>
                <w:sz w:val="16"/>
                <w:szCs w:val="16"/>
              </w:rPr>
              <w:t xml:space="preserve"> dysplazie2 (Labradorský </w:t>
            </w:r>
            <w:proofErr w:type="spellStart"/>
            <w:r>
              <w:rPr>
                <w:sz w:val="16"/>
                <w:szCs w:val="16"/>
              </w:rPr>
              <w:t>retríver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169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1ABB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59E43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</w:tr>
    </w:tbl>
    <w:p w14:paraId="024C38DE" w14:textId="0CB56A83" w:rsidR="008E60A3" w:rsidRPr="00BD5502" w:rsidRDefault="00F238D3" w:rsidP="00F238D3">
      <w:pPr>
        <w:jc w:val="center"/>
        <w:rPr>
          <w:rFonts w:eastAsia="MS Mincho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935" distR="114935" simplePos="0" relativeHeight="251660288" behindDoc="1" locked="0" layoutInCell="1" allowOverlap="1" wp14:anchorId="1BC89A26" wp14:editId="73AF71ED">
            <wp:simplePos x="0" y="0"/>
            <wp:positionH relativeFrom="column">
              <wp:posOffset>5945505</wp:posOffset>
            </wp:positionH>
            <wp:positionV relativeFrom="paragraph">
              <wp:posOffset>-473710</wp:posOffset>
            </wp:positionV>
            <wp:extent cx="924560" cy="587375"/>
            <wp:effectExtent l="0" t="0" r="889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8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0A3">
        <w:rPr>
          <w:rFonts w:eastAsia="MS Mincho"/>
          <w:b/>
          <w:sz w:val="28"/>
          <w:szCs w:val="28"/>
        </w:rPr>
        <w:t>Ceník externích vyšetření – psi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3969"/>
        <w:gridCol w:w="1418"/>
        <w:gridCol w:w="1134"/>
        <w:gridCol w:w="708"/>
      </w:tblGrid>
      <w:tr w:rsidR="008E60A3" w14:paraId="1A57B690" w14:textId="77777777" w:rsidTr="00A21EE2">
        <w:trPr>
          <w:cantSplit/>
          <w:trHeight w:val="397"/>
        </w:trPr>
        <w:tc>
          <w:tcPr>
            <w:tcW w:w="2268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412E3B38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>Vyšetření</w:t>
            </w:r>
          </w:p>
        </w:tc>
        <w:tc>
          <w:tcPr>
            <w:tcW w:w="1276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25A2B162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>Druh vzorku</w:t>
            </w:r>
          </w:p>
        </w:tc>
        <w:tc>
          <w:tcPr>
            <w:tcW w:w="3969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6D7BC581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 xml:space="preserve">Popis </w:t>
            </w:r>
          </w:p>
        </w:tc>
        <w:tc>
          <w:tcPr>
            <w:tcW w:w="1418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4054DBF3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>Laboratoř</w:t>
            </w:r>
          </w:p>
        </w:tc>
        <w:tc>
          <w:tcPr>
            <w:tcW w:w="1842" w:type="dxa"/>
            <w:gridSpan w:val="2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auto"/>
            <w:vAlign w:val="center"/>
          </w:tcPr>
          <w:p w14:paraId="1286DD4F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>Cena Kč</w:t>
            </w:r>
          </w:p>
          <w:p w14:paraId="5AE4E5FB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128B8">
              <w:rPr>
                <w:b/>
                <w:bCs/>
                <w:sz w:val="20"/>
                <w:szCs w:val="20"/>
              </w:rPr>
              <w:t>DPH</w:t>
            </w:r>
            <w:r>
              <w:rPr>
                <w:b/>
                <w:bCs/>
                <w:sz w:val="20"/>
                <w:szCs w:val="20"/>
              </w:rPr>
              <w:t>/EUR</w:t>
            </w:r>
          </w:p>
        </w:tc>
      </w:tr>
      <w:tr w:rsidR="008E60A3" w14:paraId="2CA9D5A2" w14:textId="77777777" w:rsidTr="00A21EE2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66C3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Exercise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Induced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Collapse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478A2660" w14:textId="77777777" w:rsidR="008E60A3" w:rsidRDefault="008E60A3" w:rsidP="00A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FB0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21B30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37799E69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DNM1 mutace: </w:t>
            </w:r>
            <w:proofErr w:type="spellStart"/>
            <w:r>
              <w:rPr>
                <w:sz w:val="16"/>
                <w:szCs w:val="16"/>
              </w:rPr>
              <w:t>Labr</w:t>
            </w:r>
            <w:proofErr w:type="spellEnd"/>
            <w:r>
              <w:rPr>
                <w:sz w:val="16"/>
                <w:szCs w:val="16"/>
              </w:rPr>
              <w:t xml:space="preserve">. retrívr, </w:t>
            </w:r>
            <w:proofErr w:type="spellStart"/>
            <w:r>
              <w:rPr>
                <w:sz w:val="16"/>
                <w:szCs w:val="16"/>
              </w:rPr>
              <w:t>Curly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coated</w:t>
            </w:r>
            <w:proofErr w:type="spellEnd"/>
            <w:r>
              <w:rPr>
                <w:sz w:val="16"/>
                <w:szCs w:val="16"/>
              </w:rPr>
              <w:t xml:space="preserve"> retrívr, </w:t>
            </w:r>
            <w:proofErr w:type="spellStart"/>
            <w:r>
              <w:rPr>
                <w:sz w:val="16"/>
                <w:szCs w:val="16"/>
              </w:rPr>
              <w:t>Chesapeake</w:t>
            </w:r>
            <w:proofErr w:type="spellEnd"/>
            <w:r>
              <w:rPr>
                <w:sz w:val="16"/>
                <w:szCs w:val="16"/>
              </w:rPr>
              <w:t xml:space="preserve"> Bay retrívr, </w:t>
            </w:r>
            <w:proofErr w:type="spellStart"/>
            <w:r>
              <w:rPr>
                <w:sz w:val="16"/>
                <w:szCs w:val="16"/>
              </w:rPr>
              <w:t>Boykin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španěl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Welsh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corgi</w:t>
            </w:r>
            <w:proofErr w:type="spellEnd"/>
          </w:p>
          <w:p w14:paraId="4FBEEECC" w14:textId="77777777" w:rsidR="008E60A3" w:rsidRDefault="008E60A3" w:rsidP="00A21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E95D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48C2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1796,00</w:t>
            </w:r>
          </w:p>
          <w:p w14:paraId="0AD14EEC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D614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41A3E8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DDCC6EA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  <w:p w14:paraId="69C7AFA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6B5F0BC1" w14:textId="77777777" w:rsidTr="00A21EE2">
        <w:trPr>
          <w:trHeight w:val="2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464" w14:textId="77777777" w:rsidR="008E60A3" w:rsidRPr="004A5AA9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A5AA9">
              <w:rPr>
                <w:b/>
                <w:sz w:val="18"/>
                <w:szCs w:val="18"/>
              </w:rPr>
              <w:t>Factor</w:t>
            </w:r>
            <w:proofErr w:type="spellEnd"/>
            <w:r w:rsidRPr="004A5AA9">
              <w:rPr>
                <w:b/>
                <w:sz w:val="18"/>
                <w:szCs w:val="18"/>
              </w:rPr>
              <w:t xml:space="preserve"> VII </w:t>
            </w:r>
            <w:proofErr w:type="spellStart"/>
            <w:r w:rsidRPr="004A5AA9">
              <w:rPr>
                <w:b/>
                <w:sz w:val="18"/>
                <w:szCs w:val="18"/>
              </w:rPr>
              <w:t>Deficiency</w:t>
            </w:r>
            <w:proofErr w:type="spellEnd"/>
          </w:p>
          <w:p w14:paraId="5964B051" w14:textId="77777777" w:rsidR="008E60A3" w:rsidRPr="004A5AA9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5AA9">
              <w:rPr>
                <w:b/>
                <w:sz w:val="18"/>
                <w:szCs w:val="18"/>
              </w:rPr>
              <w:t>(F VII)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F1EA" w14:textId="77777777" w:rsidR="008E60A3" w:rsidRPr="004A5AA9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4A5AA9">
              <w:rPr>
                <w:sz w:val="18"/>
                <w:szCs w:val="18"/>
              </w:rPr>
              <w:t>cytobrush</w:t>
            </w:r>
            <w:proofErr w:type="spellEnd"/>
            <w:r w:rsidRPr="004A5AA9"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9535A" w14:textId="77777777" w:rsidR="008E60A3" w:rsidRPr="004A5AA9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 w:rsidRPr="004A5AA9">
              <w:rPr>
                <w:b/>
                <w:sz w:val="18"/>
                <w:szCs w:val="18"/>
              </w:rPr>
              <w:t>Genetické vyšetření</w:t>
            </w:r>
          </w:p>
          <w:p w14:paraId="06AFB07D" w14:textId="77777777" w:rsidR="008E60A3" w:rsidRPr="004A5AA9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 w:rsidRPr="004A5AA9">
              <w:rPr>
                <w:b/>
                <w:sz w:val="18"/>
                <w:szCs w:val="18"/>
              </w:rPr>
              <w:t xml:space="preserve">detekce </w:t>
            </w:r>
            <w:proofErr w:type="spellStart"/>
            <w:r w:rsidRPr="004A5AA9">
              <w:rPr>
                <w:b/>
                <w:sz w:val="18"/>
                <w:szCs w:val="18"/>
              </w:rPr>
              <w:t>koagugulačního</w:t>
            </w:r>
            <w:proofErr w:type="spellEnd"/>
            <w:r w:rsidRPr="004A5AA9">
              <w:rPr>
                <w:b/>
                <w:sz w:val="18"/>
                <w:szCs w:val="18"/>
              </w:rPr>
              <w:t xml:space="preserve"> faktoru: </w:t>
            </w:r>
            <w:r w:rsidRPr="001C4FF6">
              <w:rPr>
                <w:sz w:val="18"/>
                <w:szCs w:val="18"/>
              </w:rPr>
              <w:t xml:space="preserve">Beagle, </w:t>
            </w:r>
            <w:proofErr w:type="spellStart"/>
            <w:r w:rsidRPr="001C4FF6">
              <w:rPr>
                <w:sz w:val="18"/>
                <w:szCs w:val="18"/>
              </w:rPr>
              <w:t>Airedale</w:t>
            </w:r>
            <w:proofErr w:type="spellEnd"/>
            <w:r w:rsidRPr="001C4FF6">
              <w:rPr>
                <w:sz w:val="18"/>
                <w:szCs w:val="18"/>
              </w:rPr>
              <w:t xml:space="preserve"> teriér, Aljašský </w:t>
            </w:r>
            <w:proofErr w:type="spellStart"/>
            <w:r w:rsidRPr="001C4FF6">
              <w:rPr>
                <w:sz w:val="18"/>
                <w:szCs w:val="18"/>
              </w:rPr>
              <w:t>Klee</w:t>
            </w:r>
            <w:proofErr w:type="spellEnd"/>
            <w:r w:rsidRPr="001C4FF6">
              <w:rPr>
                <w:sz w:val="18"/>
                <w:szCs w:val="18"/>
              </w:rPr>
              <w:t xml:space="preserve"> Kai, Velký knírač, Skotský Deerhound</w:t>
            </w:r>
            <w:r w:rsidRPr="004A5A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6A94" w14:textId="77777777" w:rsidR="008E60A3" w:rsidRPr="004A5AA9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 w:rsidRPr="004A5AA9">
              <w:rPr>
                <w:sz w:val="18"/>
                <w:szCs w:val="18"/>
              </w:rPr>
              <w:t xml:space="preserve">VGL </w:t>
            </w:r>
            <w:proofErr w:type="spellStart"/>
            <w:r w:rsidRPr="004A5AA9">
              <w:rPr>
                <w:sz w:val="18"/>
                <w:szCs w:val="18"/>
              </w:rPr>
              <w:t>California</w:t>
            </w:r>
            <w:proofErr w:type="spellEnd"/>
            <w:r w:rsidRPr="004A5AA9">
              <w:rPr>
                <w:sz w:val="18"/>
                <w:szCs w:val="18"/>
              </w:rPr>
              <w:t>, USA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F67F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6942B0D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D444DA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0645895" w14:textId="77777777" w:rsidR="008E60A3" w:rsidRPr="004A5AA9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</w:t>
            </w:r>
            <w:r w:rsidRPr="004A5AA9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7469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04AD483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1C7630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92F01A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68,00</w:t>
            </w:r>
          </w:p>
        </w:tc>
      </w:tr>
      <w:tr w:rsidR="008E60A3" w14:paraId="3A3EFE3A" w14:textId="77777777" w:rsidTr="00A21EE2">
        <w:trPr>
          <w:trHeight w:val="2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CBC6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2AB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2B83F" w14:textId="77777777" w:rsidR="008E60A3" w:rsidRPr="004A5AA9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 w:rsidRPr="004A5AA9">
              <w:rPr>
                <w:b/>
                <w:sz w:val="18"/>
                <w:szCs w:val="18"/>
              </w:rPr>
              <w:t>Genetické vyšetření</w:t>
            </w:r>
          </w:p>
          <w:p w14:paraId="67730A99" w14:textId="77777777" w:rsidR="008E60A3" w:rsidRDefault="008E60A3" w:rsidP="00A21EE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Airedale</w:t>
            </w:r>
            <w:proofErr w:type="spellEnd"/>
            <w:r>
              <w:rPr>
                <w:sz w:val="18"/>
                <w:szCs w:val="18"/>
              </w:rPr>
              <w:t xml:space="preserve"> t., aljašský </w:t>
            </w:r>
            <w:proofErr w:type="spellStart"/>
            <w:r>
              <w:rPr>
                <w:sz w:val="18"/>
                <w:szCs w:val="18"/>
              </w:rPr>
              <w:t>Klee</w:t>
            </w:r>
            <w:proofErr w:type="spellEnd"/>
            <w:r>
              <w:rPr>
                <w:sz w:val="18"/>
                <w:szCs w:val="18"/>
              </w:rPr>
              <w:t xml:space="preserve"> Kai, bígl, velký knírač, deerhound</w:t>
            </w:r>
          </w:p>
          <w:p w14:paraId="436A74E3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 w:rsidRPr="00914BC1"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F21E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F57F0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63D99BC" w14:textId="115E9DEB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5D0D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743F8B6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4D3BA8C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8555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9DDD0B5" w14:textId="3A2D0A5D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65D0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6D9C5FC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313660E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6F44BA63" w14:textId="77777777" w:rsidTr="00A21EE2">
        <w:trPr>
          <w:trHeight w:val="4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DA6D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Gene </w:t>
            </w:r>
            <w:proofErr w:type="spellStart"/>
            <w:r>
              <w:rPr>
                <w:b/>
                <w:sz w:val="18"/>
                <w:szCs w:val="18"/>
              </w:rPr>
              <w:t>Defect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64E75BE4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Ivermectin</w:t>
            </w:r>
            <w:proofErr w:type="spellEnd"/>
            <w:r>
              <w:rPr>
                <w:b/>
                <w:sz w:val="18"/>
                <w:szCs w:val="18"/>
              </w:rPr>
              <w:t xml:space="preserve"> Sensitivity (MDR1) </w:t>
            </w:r>
          </w:p>
          <w:p w14:paraId="1ABD20EF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21E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273C9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14F0A9D5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mutace MDR1 genu: Kolie, </w:t>
            </w:r>
            <w:proofErr w:type="spellStart"/>
            <w:r>
              <w:rPr>
                <w:sz w:val="16"/>
                <w:szCs w:val="16"/>
              </w:rPr>
              <w:t>Sheltie</w:t>
            </w:r>
            <w:proofErr w:type="spellEnd"/>
            <w:r>
              <w:rPr>
                <w:sz w:val="16"/>
                <w:szCs w:val="16"/>
              </w:rPr>
              <w:t xml:space="preserve">, Australský ovčák, dlouhosrstý </w:t>
            </w:r>
            <w:proofErr w:type="spellStart"/>
            <w:r>
              <w:rPr>
                <w:sz w:val="16"/>
                <w:szCs w:val="16"/>
              </w:rPr>
              <w:t>Vipet</w:t>
            </w:r>
            <w:proofErr w:type="spellEnd"/>
            <w:r>
              <w:rPr>
                <w:sz w:val="16"/>
                <w:szCs w:val="16"/>
              </w:rPr>
              <w:t xml:space="preserve">, Americký bílý ovčák, Německý ovčák, </w:t>
            </w:r>
            <w:proofErr w:type="spellStart"/>
            <w:r>
              <w:rPr>
                <w:sz w:val="16"/>
                <w:szCs w:val="16"/>
              </w:rPr>
              <w:t>staroangl.ovčák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silken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windhound</w:t>
            </w:r>
            <w:proofErr w:type="spellEnd"/>
          </w:p>
          <w:p w14:paraId="6FB0129D" w14:textId="77777777" w:rsidR="008E60A3" w:rsidRDefault="008E60A3" w:rsidP="00A21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00C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BF5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2DDFEB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980B73A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A01E743" w14:textId="5E45441E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5D0D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3611F937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280D4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1653AA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387F93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271EB42" w14:textId="6A21BD8B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65D0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275B291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</w:tr>
      <w:tr w:rsidR="008E60A3" w14:paraId="39DC3652" w14:textId="77777777" w:rsidTr="00A21EE2">
        <w:trPr>
          <w:trHeight w:val="4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500A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Glycogen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Storage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Disease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GSDIIIa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750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BC4B6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2CB6650B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</w:t>
            </w:r>
            <w:proofErr w:type="spellStart"/>
            <w:r>
              <w:rPr>
                <w:sz w:val="16"/>
                <w:szCs w:val="16"/>
              </w:rPr>
              <w:t>GSDIIIa</w:t>
            </w:r>
            <w:proofErr w:type="spellEnd"/>
            <w:r>
              <w:rPr>
                <w:sz w:val="16"/>
                <w:szCs w:val="16"/>
              </w:rPr>
              <w:t xml:space="preserve"> mutace: </w:t>
            </w:r>
            <w:proofErr w:type="spellStart"/>
            <w:r>
              <w:rPr>
                <w:sz w:val="16"/>
                <w:szCs w:val="16"/>
              </w:rPr>
              <w:t>Curly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coated</w:t>
            </w:r>
            <w:proofErr w:type="spellEnd"/>
            <w:r>
              <w:rPr>
                <w:sz w:val="16"/>
                <w:szCs w:val="16"/>
              </w:rPr>
              <w:t xml:space="preserve"> retrívr</w:t>
            </w:r>
          </w:p>
          <w:p w14:paraId="6C4F1230" w14:textId="77777777" w:rsidR="008E60A3" w:rsidRDefault="008E60A3" w:rsidP="00A21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A84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AB5B1" w14:textId="4EA74039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5D0D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55591CB8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F9B6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9E8BE98" w14:textId="1D10A0D9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65D0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60E4855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2B1DADCA" w14:textId="77777777" w:rsidTr="00A21EE2">
        <w:trPr>
          <w:trHeight w:val="1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A7DA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Hyperuricosuria</w:t>
            </w:r>
            <w:proofErr w:type="spellEnd"/>
            <w:r>
              <w:rPr>
                <w:b/>
                <w:sz w:val="18"/>
                <w:szCs w:val="18"/>
              </w:rPr>
              <w:t xml:space="preserve"> Test (HUU/SLC)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3BA5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26E5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132A0612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mutace SLC2A9: Dalmatin, Buldok, Černý ruský teriér, Výmarský ohař, </w:t>
            </w:r>
            <w:proofErr w:type="spellStart"/>
            <w:r>
              <w:rPr>
                <w:sz w:val="16"/>
                <w:szCs w:val="16"/>
              </w:rPr>
              <w:t>Pitbull</w:t>
            </w:r>
            <w:proofErr w:type="spellEnd"/>
            <w:r>
              <w:rPr>
                <w:sz w:val="16"/>
                <w:szCs w:val="16"/>
              </w:rPr>
              <w:t xml:space="preserve">,  Jack </w:t>
            </w:r>
            <w:proofErr w:type="spellStart"/>
            <w:r>
              <w:rPr>
                <w:sz w:val="16"/>
                <w:szCs w:val="16"/>
              </w:rPr>
              <w:t>Russel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Parsons</w:t>
            </w:r>
            <w:proofErr w:type="spellEnd"/>
            <w:r>
              <w:rPr>
                <w:sz w:val="16"/>
                <w:szCs w:val="16"/>
              </w:rPr>
              <w:t xml:space="preserve"> Teriér, Americký </w:t>
            </w:r>
            <w:proofErr w:type="spellStart"/>
            <w:r>
              <w:rPr>
                <w:sz w:val="16"/>
                <w:szCs w:val="16"/>
              </w:rPr>
              <w:t>stafordšírský</w:t>
            </w:r>
            <w:proofErr w:type="spellEnd"/>
            <w:r>
              <w:rPr>
                <w:sz w:val="16"/>
                <w:szCs w:val="16"/>
              </w:rPr>
              <w:t xml:space="preserve"> teriér, Knírač velký, Búrský buldok, Německý ovčák, Velký </w:t>
            </w:r>
            <w:proofErr w:type="spellStart"/>
            <w:r>
              <w:rPr>
                <w:sz w:val="16"/>
                <w:szCs w:val="16"/>
              </w:rPr>
              <w:t>münsterlandský</w:t>
            </w:r>
            <w:proofErr w:type="spellEnd"/>
            <w:r>
              <w:rPr>
                <w:sz w:val="16"/>
                <w:szCs w:val="16"/>
              </w:rPr>
              <w:t xml:space="preserve"> ohař, Australský ovčák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A313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>, USA*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F52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003DC0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F1D3870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F0ADB2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E8574E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29BC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07E332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47D1233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D2FD664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F409194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68,00</w:t>
            </w:r>
          </w:p>
        </w:tc>
      </w:tr>
      <w:tr w:rsidR="008E60A3" w14:paraId="5CD25A72" w14:textId="77777777" w:rsidTr="00A21EE2">
        <w:trPr>
          <w:trHeight w:val="1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DBC0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258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B582D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4F28FA9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</w:t>
            </w:r>
            <w:proofErr w:type="spellStart"/>
            <w:r>
              <w:rPr>
                <w:sz w:val="16"/>
                <w:szCs w:val="16"/>
              </w:rPr>
              <w:t>hyperuricosurie</w:t>
            </w:r>
            <w:proofErr w:type="spellEnd"/>
            <w:r>
              <w:rPr>
                <w:sz w:val="16"/>
                <w:szCs w:val="16"/>
              </w:rPr>
              <w:t>: všechna plemena</w:t>
            </w:r>
          </w:p>
          <w:p w14:paraId="787E3403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D54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95B46" w14:textId="095E3DBD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C4494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01FF320C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FB0E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EA189E9" w14:textId="02E0EC80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449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7634A60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61EA1447" w14:textId="77777777" w:rsidTr="00A21EE2">
        <w:trPr>
          <w:trHeight w:val="1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A3A7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082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0626A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12BC305C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detekce mutace: více plemen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079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Genomia,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7572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89C8A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</w:tr>
      <w:tr w:rsidR="008E60A3" w14:paraId="2AE9AF1B" w14:textId="77777777" w:rsidTr="00A21EE2">
        <w:trPr>
          <w:trHeight w:val="4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BFD5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Malignant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hyperthemia</w:t>
            </w:r>
            <w:proofErr w:type="spellEnd"/>
            <w:r>
              <w:rPr>
                <w:b/>
                <w:sz w:val="18"/>
                <w:szCs w:val="18"/>
              </w:rPr>
              <w:t xml:space="preserve"> (MH)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38A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D41D8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2B53CEA4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detekce MH mutace: všechna plemena</w:t>
            </w:r>
          </w:p>
          <w:p w14:paraId="492B34E1" w14:textId="77777777" w:rsidR="008E60A3" w:rsidRDefault="008E60A3" w:rsidP="00A21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8AA3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3C1A" w14:textId="668DAC18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C4494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260D5D5B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C3307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0273F38" w14:textId="57E59492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449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7CB0EFBA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73E3FD55" w14:textId="77777777" w:rsidTr="00A21EE2">
        <w:trPr>
          <w:trHeight w:val="4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5C53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Mucopolysaccharidosis</w:t>
            </w:r>
            <w:proofErr w:type="spellEnd"/>
            <w:r>
              <w:rPr>
                <w:b/>
                <w:sz w:val="18"/>
                <w:szCs w:val="18"/>
              </w:rPr>
              <w:t xml:space="preserve"> Type VII (MPS)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BADD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7A89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303FDA33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detekce MPS VII mutace: Německý ovčák, brazilský t.</w:t>
            </w:r>
          </w:p>
          <w:p w14:paraId="1CA296E5" w14:textId="77777777" w:rsidR="008E60A3" w:rsidRDefault="008E60A3" w:rsidP="00A21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83C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C9DA" w14:textId="2429A476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C4494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6343987E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E13FC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F9167D6" w14:textId="76CE7BA1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449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38496CE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50D0A2E7" w14:textId="77777777" w:rsidTr="00A21EE2">
        <w:trPr>
          <w:trHeight w:val="2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AC27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Musladin-Lueke</w:t>
            </w:r>
            <w:proofErr w:type="spellEnd"/>
            <w:r>
              <w:rPr>
                <w:b/>
                <w:sz w:val="18"/>
                <w:szCs w:val="18"/>
              </w:rPr>
              <w:t xml:space="preserve"> Syndrome </w:t>
            </w:r>
          </w:p>
          <w:p w14:paraId="592B1AD3" w14:textId="77777777" w:rsidR="008E60A3" w:rsidRDefault="008E60A3" w:rsidP="00A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(MLS) Test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F58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7426F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074C7DBC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detekce MLS mutace: Bígl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4DD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>, USA*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1CD0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5FEE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100A54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68,00</w:t>
            </w:r>
          </w:p>
        </w:tc>
      </w:tr>
      <w:tr w:rsidR="008E60A3" w14:paraId="087E736F" w14:textId="77777777" w:rsidTr="00A21EE2">
        <w:trPr>
          <w:trHeight w:val="21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4E28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575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11D98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4DC91A66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Bígl, </w:t>
            </w:r>
            <w:r w:rsidRPr="003574E6"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8E2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3281" w14:textId="02477564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C4494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31064B84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BD9D3" w14:textId="66F51D6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449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6530497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46105F57" w14:textId="77777777" w:rsidTr="00A21EE2">
        <w:trPr>
          <w:trHeight w:val="21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14B4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441D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3D6CB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6813DD72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detekce MLS mutace: Bígl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44FD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Genomia,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914D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5065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</w:tr>
      <w:tr w:rsidR="008E60A3" w14:paraId="12F47243" w14:textId="77777777" w:rsidTr="00A21EE2">
        <w:trPr>
          <w:trHeight w:val="2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67A4" w14:textId="77777777" w:rsidR="008E60A3" w:rsidRPr="004A5AA9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A5AA9">
              <w:rPr>
                <w:b/>
                <w:sz w:val="18"/>
                <w:szCs w:val="18"/>
              </w:rPr>
              <w:t>Neonatal</w:t>
            </w:r>
            <w:proofErr w:type="spellEnd"/>
            <w:r w:rsidRPr="004A5A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A5AA9">
              <w:rPr>
                <w:b/>
                <w:sz w:val="18"/>
                <w:szCs w:val="18"/>
              </w:rPr>
              <w:t>Encephalopathy</w:t>
            </w:r>
            <w:proofErr w:type="spellEnd"/>
            <w:r w:rsidRPr="004A5A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A5AA9">
              <w:rPr>
                <w:b/>
                <w:sz w:val="18"/>
                <w:szCs w:val="18"/>
              </w:rPr>
              <w:t>with</w:t>
            </w:r>
            <w:proofErr w:type="spellEnd"/>
            <w:r w:rsidRPr="004A5A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A5AA9">
              <w:rPr>
                <w:b/>
                <w:sz w:val="18"/>
                <w:szCs w:val="18"/>
              </w:rPr>
              <w:t>Seizures</w:t>
            </w:r>
            <w:proofErr w:type="spellEnd"/>
            <w:r w:rsidRPr="004A5AA9">
              <w:rPr>
                <w:b/>
                <w:sz w:val="18"/>
                <w:szCs w:val="18"/>
              </w:rPr>
              <w:t xml:space="preserve">  (se záchvaty)</w:t>
            </w:r>
          </w:p>
          <w:p w14:paraId="4562F304" w14:textId="77777777" w:rsidR="008E60A3" w:rsidRPr="004A5AA9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5AA9">
              <w:rPr>
                <w:b/>
                <w:sz w:val="18"/>
                <w:szCs w:val="18"/>
              </w:rPr>
              <w:t xml:space="preserve">(NEWS)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C4C9" w14:textId="77777777" w:rsidR="008E60A3" w:rsidRPr="004A5AA9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4A5AA9">
              <w:rPr>
                <w:sz w:val="18"/>
                <w:szCs w:val="18"/>
              </w:rPr>
              <w:t>cytobrush</w:t>
            </w:r>
            <w:proofErr w:type="spellEnd"/>
            <w:r w:rsidRPr="004A5AA9"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70ED0" w14:textId="77777777" w:rsidR="008E60A3" w:rsidRPr="00163F72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 w:rsidRPr="00163F72">
              <w:rPr>
                <w:b/>
                <w:sz w:val="18"/>
                <w:szCs w:val="18"/>
              </w:rPr>
              <w:t>Genetické vyšetření</w:t>
            </w:r>
          </w:p>
          <w:p w14:paraId="3DC01975" w14:textId="77777777" w:rsidR="008E60A3" w:rsidRPr="004A5AA9" w:rsidRDefault="008E60A3" w:rsidP="00A21EE2">
            <w:pPr>
              <w:snapToGrid w:val="0"/>
              <w:rPr>
                <w:sz w:val="18"/>
                <w:szCs w:val="18"/>
              </w:rPr>
            </w:pPr>
            <w:r w:rsidRPr="004A5AA9">
              <w:rPr>
                <w:sz w:val="18"/>
                <w:szCs w:val="18"/>
              </w:rPr>
              <w:t xml:space="preserve">detekce ATF2: Pudl, Labrador, Zlatý </w:t>
            </w:r>
            <w:proofErr w:type="spellStart"/>
            <w:r w:rsidRPr="004A5AA9">
              <w:rPr>
                <w:sz w:val="18"/>
                <w:szCs w:val="18"/>
              </w:rPr>
              <w:t>retvív</w:t>
            </w:r>
            <w:r>
              <w:rPr>
                <w:sz w:val="18"/>
                <w:szCs w:val="18"/>
              </w:rPr>
              <w:t>e</w:t>
            </w:r>
            <w:r w:rsidRPr="004A5AA9"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6118" w14:textId="77777777" w:rsidR="008E60A3" w:rsidRPr="004A5AA9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 w:rsidRPr="004A5AA9">
              <w:rPr>
                <w:sz w:val="18"/>
                <w:szCs w:val="18"/>
              </w:rPr>
              <w:t xml:space="preserve">VGL </w:t>
            </w:r>
            <w:proofErr w:type="spellStart"/>
            <w:r w:rsidRPr="004A5AA9">
              <w:rPr>
                <w:sz w:val="18"/>
                <w:szCs w:val="18"/>
              </w:rPr>
              <w:t>California</w:t>
            </w:r>
            <w:proofErr w:type="spellEnd"/>
            <w:r w:rsidRPr="004A5AA9">
              <w:rPr>
                <w:sz w:val="18"/>
                <w:szCs w:val="18"/>
              </w:rPr>
              <w:t>, USA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2830C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A8A5F71" w14:textId="77777777" w:rsidR="008E60A3" w:rsidRPr="004A5AA9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</w:t>
            </w:r>
            <w:r w:rsidRPr="004A5AA9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C441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F4D48F3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68,00</w:t>
            </w:r>
          </w:p>
        </w:tc>
      </w:tr>
      <w:tr w:rsidR="008E60A3" w14:paraId="39C1E3AF" w14:textId="77777777" w:rsidTr="00A21EE2">
        <w:trPr>
          <w:trHeight w:val="4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41F7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817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678D0" w14:textId="77777777" w:rsidR="008E60A3" w:rsidRPr="00163F72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 w:rsidRPr="00163F72">
              <w:rPr>
                <w:b/>
                <w:sz w:val="18"/>
                <w:szCs w:val="18"/>
              </w:rPr>
              <w:t>Genetické vyšetření</w:t>
            </w:r>
          </w:p>
          <w:p w14:paraId="73A5A172" w14:textId="77777777" w:rsidR="008E60A3" w:rsidRDefault="008E60A3" w:rsidP="00A21E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Pudl velký, </w:t>
            </w:r>
          </w:p>
          <w:p w14:paraId="342F831B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 w:rsidRPr="00421903"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83D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B190" w14:textId="7AB030AF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C4494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1B2BAEB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5DA6E4E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FA5" w14:textId="0252ACDF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449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79E759C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B6C032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75A87D4E" w14:textId="77777777" w:rsidTr="00A21EE2">
        <w:trPr>
          <w:trHeight w:val="20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48755B" w14:textId="77777777" w:rsidR="008E60A3" w:rsidRDefault="008E60A3" w:rsidP="00A21EE2">
            <w:pPr>
              <w:snapToGrid w:val="0"/>
              <w:jc w:val="center"/>
              <w:rPr>
                <w:b/>
                <w:bCs/>
                <w:color w:val="232323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32323"/>
                <w:sz w:val="18"/>
                <w:szCs w:val="18"/>
              </w:rPr>
              <w:t>Primary</w:t>
            </w:r>
            <w:proofErr w:type="spellEnd"/>
            <w:r>
              <w:rPr>
                <w:b/>
                <w:bCs/>
                <w:color w:val="232323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32323"/>
                <w:sz w:val="18"/>
                <w:szCs w:val="18"/>
              </w:rPr>
              <w:t>Lens</w:t>
            </w:r>
            <w:proofErr w:type="spellEnd"/>
            <w:r>
              <w:rPr>
                <w:b/>
                <w:bCs/>
                <w:color w:val="232323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32323"/>
                <w:sz w:val="18"/>
                <w:szCs w:val="18"/>
              </w:rPr>
              <w:t>Luxation</w:t>
            </w:r>
            <w:proofErr w:type="spellEnd"/>
            <w:r>
              <w:rPr>
                <w:b/>
                <w:bCs/>
                <w:color w:val="232323"/>
                <w:sz w:val="18"/>
                <w:szCs w:val="18"/>
              </w:rPr>
              <w:t xml:space="preserve"> </w:t>
            </w:r>
          </w:p>
          <w:p w14:paraId="1CCB1A86" w14:textId="77777777" w:rsidR="008E60A3" w:rsidRDefault="008E60A3" w:rsidP="00A21EE2">
            <w:pPr>
              <w:snapToGrid w:val="0"/>
              <w:jc w:val="center"/>
              <w:rPr>
                <w:b/>
                <w:bCs/>
                <w:color w:val="232323"/>
                <w:sz w:val="18"/>
                <w:szCs w:val="18"/>
              </w:rPr>
            </w:pPr>
            <w:r>
              <w:rPr>
                <w:b/>
                <w:bCs/>
                <w:color w:val="232323"/>
                <w:sz w:val="18"/>
                <w:szCs w:val="18"/>
              </w:rPr>
              <w:t>(primární luxace čočky)</w:t>
            </w:r>
          </w:p>
          <w:p w14:paraId="36C540D3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232323"/>
                <w:sz w:val="18"/>
                <w:szCs w:val="18"/>
              </w:rPr>
              <w:t>(PLL)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54B6B1" w14:textId="77777777" w:rsidR="008E60A3" w:rsidRPr="004A5AA9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4A5AA9">
              <w:rPr>
                <w:sz w:val="18"/>
                <w:szCs w:val="18"/>
              </w:rPr>
              <w:t>cytobrush</w:t>
            </w:r>
            <w:proofErr w:type="spellEnd"/>
            <w:r w:rsidRPr="004A5AA9"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F18E8C" w14:textId="77777777" w:rsidR="008E60A3" w:rsidRPr="00163F72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 w:rsidRPr="00163F72">
              <w:rPr>
                <w:b/>
                <w:sz w:val="18"/>
                <w:szCs w:val="18"/>
              </w:rPr>
              <w:t>Genetické vyšetření</w:t>
            </w:r>
          </w:p>
          <w:p w14:paraId="71F6806D" w14:textId="77777777" w:rsidR="008E60A3" w:rsidRPr="004A5AA9" w:rsidRDefault="008E60A3" w:rsidP="00A21EE2">
            <w:pPr>
              <w:snapToGrid w:val="0"/>
              <w:rPr>
                <w:sz w:val="18"/>
                <w:szCs w:val="18"/>
              </w:rPr>
            </w:pPr>
            <w:r w:rsidRPr="004A5AA9">
              <w:rPr>
                <w:sz w:val="18"/>
                <w:szCs w:val="18"/>
              </w:rPr>
              <w:t xml:space="preserve">detekce mutace ADAMST17 genu: teriéři, dále: Americký eskymácký pes, Australský honácký pes, Čínský chocholatý pes, </w:t>
            </w:r>
            <w:proofErr w:type="spellStart"/>
            <w:r w:rsidRPr="004A5AA9">
              <w:rPr>
                <w:sz w:val="18"/>
                <w:szCs w:val="18"/>
              </w:rPr>
              <w:t>Volpino</w:t>
            </w:r>
            <w:proofErr w:type="spellEnd"/>
            <w:r w:rsidRPr="004A5AA9">
              <w:rPr>
                <w:sz w:val="18"/>
                <w:szCs w:val="18"/>
              </w:rPr>
              <w:t xml:space="preserve"> </w:t>
            </w:r>
            <w:proofErr w:type="spellStart"/>
            <w:r w:rsidRPr="004A5AA9">
              <w:rPr>
                <w:sz w:val="18"/>
                <w:szCs w:val="18"/>
              </w:rPr>
              <w:t>Italiano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C146" w14:textId="77777777" w:rsidR="008E60A3" w:rsidRPr="004A5AA9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 w:rsidRPr="004A5AA9">
              <w:rPr>
                <w:sz w:val="18"/>
                <w:szCs w:val="18"/>
              </w:rPr>
              <w:t xml:space="preserve">VGL </w:t>
            </w:r>
            <w:proofErr w:type="spellStart"/>
            <w:r w:rsidRPr="004A5AA9">
              <w:rPr>
                <w:sz w:val="18"/>
                <w:szCs w:val="18"/>
              </w:rPr>
              <w:t>California</w:t>
            </w:r>
            <w:proofErr w:type="spellEnd"/>
            <w:r w:rsidRPr="004A5AA9">
              <w:rPr>
                <w:sz w:val="18"/>
                <w:szCs w:val="18"/>
              </w:rPr>
              <w:t>, USA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84EA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39E4DAA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B1622F0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B472328" w14:textId="77777777" w:rsidR="008E60A3" w:rsidRPr="004A5AA9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</w:t>
            </w:r>
            <w:r w:rsidRPr="004A5AA9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CAAC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DD111D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8A6A573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C25EAAC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68,00</w:t>
            </w:r>
          </w:p>
        </w:tc>
      </w:tr>
      <w:tr w:rsidR="008E60A3" w14:paraId="1FCCABFF" w14:textId="77777777" w:rsidTr="00A21EE2">
        <w:trPr>
          <w:trHeight w:val="20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DC1BB6" w14:textId="77777777" w:rsidR="008E60A3" w:rsidRDefault="008E60A3" w:rsidP="00A21E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1FF10E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6F7B0E" w14:textId="77777777" w:rsidR="008E60A3" w:rsidRPr="00163F72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 w:rsidRPr="00163F72">
              <w:rPr>
                <w:b/>
                <w:sz w:val="18"/>
                <w:szCs w:val="18"/>
              </w:rPr>
              <w:t>Genetické vyšetření</w:t>
            </w:r>
          </w:p>
          <w:p w14:paraId="79D0A12C" w14:textId="77777777" w:rsidR="008E60A3" w:rsidRDefault="008E60A3" w:rsidP="00A21EE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. Eskymácký pes, 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bezsrstý</w:t>
            </w:r>
            <w:proofErr w:type="spellEnd"/>
            <w:r>
              <w:rPr>
                <w:sz w:val="18"/>
                <w:szCs w:val="18"/>
              </w:rPr>
              <w:t xml:space="preserve"> t., </w:t>
            </w:r>
            <w:proofErr w:type="spellStart"/>
            <w:r>
              <w:rPr>
                <w:sz w:val="18"/>
                <w:szCs w:val="18"/>
              </w:rPr>
              <w:t>austral.honácký</w:t>
            </w:r>
            <w:proofErr w:type="spellEnd"/>
            <w:r>
              <w:rPr>
                <w:sz w:val="18"/>
                <w:szCs w:val="18"/>
              </w:rPr>
              <w:t>, čínský chocholatý, dán.-</w:t>
            </w:r>
            <w:proofErr w:type="spellStart"/>
            <w:r>
              <w:rPr>
                <w:sz w:val="18"/>
                <w:szCs w:val="18"/>
              </w:rPr>
              <w:t>švéd.farmářský</w:t>
            </w:r>
            <w:proofErr w:type="spellEnd"/>
            <w:r>
              <w:rPr>
                <w:sz w:val="18"/>
                <w:szCs w:val="18"/>
              </w:rPr>
              <w:t xml:space="preserve">, fox t., Jack Russell, </w:t>
            </w:r>
            <w:proofErr w:type="spellStart"/>
            <w:r>
              <w:rPr>
                <w:sz w:val="18"/>
                <w:szCs w:val="18"/>
              </w:rPr>
              <w:t>Jagd</w:t>
            </w:r>
            <w:proofErr w:type="spellEnd"/>
            <w:r>
              <w:rPr>
                <w:sz w:val="18"/>
                <w:szCs w:val="18"/>
              </w:rPr>
              <w:t xml:space="preserve"> t., </w:t>
            </w:r>
            <w:proofErr w:type="spellStart"/>
            <w:r>
              <w:rPr>
                <w:sz w:val="18"/>
                <w:szCs w:val="18"/>
              </w:rPr>
              <w:t>Lakeland</w:t>
            </w:r>
            <w:proofErr w:type="spellEnd"/>
            <w:r>
              <w:rPr>
                <w:sz w:val="18"/>
                <w:szCs w:val="18"/>
              </w:rPr>
              <w:t xml:space="preserve"> t., </w:t>
            </w:r>
            <w:proofErr w:type="spellStart"/>
            <w:r>
              <w:rPr>
                <w:sz w:val="18"/>
                <w:szCs w:val="18"/>
              </w:rPr>
              <w:t>Lancashirský</w:t>
            </w:r>
            <w:proofErr w:type="spellEnd"/>
            <w:r>
              <w:rPr>
                <w:sz w:val="18"/>
                <w:szCs w:val="18"/>
              </w:rPr>
              <w:t xml:space="preserve"> t., Lucas t., </w:t>
            </w:r>
            <w:proofErr w:type="spellStart"/>
            <w:r>
              <w:rPr>
                <w:sz w:val="18"/>
                <w:szCs w:val="18"/>
              </w:rPr>
              <w:t>mini.bullteriér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Norfolský</w:t>
            </w:r>
            <w:proofErr w:type="spellEnd"/>
            <w:r>
              <w:rPr>
                <w:sz w:val="18"/>
                <w:szCs w:val="18"/>
              </w:rPr>
              <w:t xml:space="preserve"> t., </w:t>
            </w:r>
            <w:proofErr w:type="spellStart"/>
            <w:r>
              <w:rPr>
                <w:sz w:val="18"/>
                <w:szCs w:val="18"/>
              </w:rPr>
              <w:t>Norwich</w:t>
            </w:r>
            <w:proofErr w:type="spellEnd"/>
            <w:r>
              <w:rPr>
                <w:sz w:val="18"/>
                <w:szCs w:val="18"/>
              </w:rPr>
              <w:t xml:space="preserve"> t., </w:t>
            </w:r>
            <w:proofErr w:type="spellStart"/>
            <w:r>
              <w:rPr>
                <w:sz w:val="18"/>
                <w:szCs w:val="18"/>
              </w:rPr>
              <w:t>Parson</w:t>
            </w:r>
            <w:proofErr w:type="spellEnd"/>
            <w:r>
              <w:rPr>
                <w:sz w:val="18"/>
                <w:szCs w:val="18"/>
              </w:rPr>
              <w:t xml:space="preserve"> Russell, </w:t>
            </w:r>
            <w:proofErr w:type="spellStart"/>
            <w:r>
              <w:rPr>
                <w:sz w:val="18"/>
                <w:szCs w:val="18"/>
              </w:rPr>
              <w:t>Patterdale</w:t>
            </w:r>
            <w:proofErr w:type="spellEnd"/>
            <w:r>
              <w:rPr>
                <w:sz w:val="18"/>
                <w:szCs w:val="18"/>
              </w:rPr>
              <w:t xml:space="preserve">, mops, krysí t., </w:t>
            </w:r>
            <w:proofErr w:type="spellStart"/>
            <w:r>
              <w:rPr>
                <w:sz w:val="18"/>
                <w:szCs w:val="18"/>
              </w:rPr>
              <w:t>Sealyham</w:t>
            </w:r>
            <w:proofErr w:type="spellEnd"/>
            <w:r>
              <w:rPr>
                <w:sz w:val="18"/>
                <w:szCs w:val="18"/>
              </w:rPr>
              <w:t xml:space="preserve">, Tedy Roosevelt, </w:t>
            </w:r>
            <w:proofErr w:type="spellStart"/>
            <w:r>
              <w:rPr>
                <w:sz w:val="18"/>
                <w:szCs w:val="18"/>
              </w:rPr>
              <w:t>Tenterfield</w:t>
            </w:r>
            <w:proofErr w:type="spellEnd"/>
            <w:r>
              <w:rPr>
                <w:sz w:val="18"/>
                <w:szCs w:val="18"/>
              </w:rPr>
              <w:t xml:space="preserve">, tibetský t., </w:t>
            </w:r>
            <w:proofErr w:type="spellStart"/>
            <w:r>
              <w:rPr>
                <w:sz w:val="18"/>
                <w:szCs w:val="18"/>
              </w:rPr>
              <w:t>Toy</w:t>
            </w:r>
            <w:proofErr w:type="spellEnd"/>
            <w:r>
              <w:rPr>
                <w:sz w:val="18"/>
                <w:szCs w:val="18"/>
              </w:rPr>
              <w:t xml:space="preserve"> Fox, italský </w:t>
            </w:r>
            <w:proofErr w:type="spellStart"/>
            <w:r>
              <w:rPr>
                <w:sz w:val="18"/>
                <w:szCs w:val="18"/>
              </w:rPr>
              <w:t>volpino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Welsh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Cordi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Westfalský</w:t>
            </w:r>
            <w:proofErr w:type="spellEnd"/>
            <w:r>
              <w:rPr>
                <w:sz w:val="18"/>
                <w:szCs w:val="18"/>
              </w:rPr>
              <w:t>, YT</w:t>
            </w:r>
          </w:p>
          <w:p w14:paraId="53C41410" w14:textId="77777777" w:rsidR="008E60A3" w:rsidRDefault="008E60A3" w:rsidP="00A21EE2">
            <w:pPr>
              <w:rPr>
                <w:b/>
                <w:sz w:val="18"/>
                <w:szCs w:val="18"/>
              </w:rPr>
            </w:pPr>
            <w:r w:rsidRPr="00936133"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860D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6B34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EA6727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2834C5A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214E6D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6E8D79E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DA49880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E7B20A5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4A031F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0AA546E" w14:textId="78227B5A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0AAF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5175EF87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2F9B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9E2BBF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A52E94C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9CCE345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437C60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AB4CCF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527F214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87EB4A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FE4ED70" w14:textId="6BD08E10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50AA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0C75D72E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7A617CAB" w14:textId="77777777" w:rsidTr="00A21EE2">
        <w:trPr>
          <w:trHeight w:val="20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EF1687" w14:textId="77777777" w:rsidR="008E60A3" w:rsidRDefault="008E60A3" w:rsidP="00A21E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3FF80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2813" w14:textId="77777777" w:rsidR="008E60A3" w:rsidRPr="00163F72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 w:rsidRPr="00163F72">
              <w:rPr>
                <w:b/>
                <w:sz w:val="18"/>
                <w:szCs w:val="18"/>
              </w:rPr>
              <w:t>Genetické vyšetření</w:t>
            </w:r>
          </w:p>
          <w:p w14:paraId="743A2575" w14:textId="77777777" w:rsidR="008E60A3" w:rsidRPr="0033742E" w:rsidRDefault="008E60A3" w:rsidP="00A21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3742E">
              <w:rPr>
                <w:sz w:val="18"/>
                <w:szCs w:val="18"/>
              </w:rPr>
              <w:t>etekce mutace ADAMST17 genu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016C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Genomia,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7941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B978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</w:tr>
      <w:tr w:rsidR="008E60A3" w14:paraId="1E408665" w14:textId="77777777" w:rsidTr="00A21EE2">
        <w:trPr>
          <w:trHeight w:val="2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AFC6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Progressive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Retinal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Atrophy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477BF7F3" w14:textId="77777777" w:rsidR="008E60A3" w:rsidRDefault="008E60A3" w:rsidP="00A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crd</w:t>
            </w:r>
            <w:proofErr w:type="spellEnd"/>
            <w:r>
              <w:rPr>
                <w:b/>
                <w:sz w:val="18"/>
                <w:szCs w:val="18"/>
              </w:rPr>
              <w:t>-PRA)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07E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4471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30C166B6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</w:t>
            </w:r>
            <w:proofErr w:type="spellStart"/>
            <w:r>
              <w:rPr>
                <w:sz w:val="16"/>
                <w:szCs w:val="16"/>
              </w:rPr>
              <w:t>crd</w:t>
            </w:r>
            <w:proofErr w:type="spellEnd"/>
            <w:r>
              <w:rPr>
                <w:sz w:val="16"/>
                <w:szCs w:val="16"/>
              </w:rPr>
              <w:t>-PRA mutace: Drsnosrstý jezevčík</w:t>
            </w:r>
          </w:p>
          <w:p w14:paraId="068E2EC9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detekce crd2-PRA mutace: Americký bulteriér</w:t>
            </w:r>
          </w:p>
          <w:p w14:paraId="17A58042" w14:textId="77777777" w:rsidR="008E60A3" w:rsidRDefault="008E60A3" w:rsidP="00A21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100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Laboklin, Germany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1FB9F" w14:textId="5B93F29E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0AAF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28EEA7C7" w14:textId="2846B8A8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0AAF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66A74CCA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9D6D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4F4FBA9" w14:textId="384CB930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50AA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35674349" w14:textId="48FC4AAD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50AA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558D068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</w:tbl>
    <w:p w14:paraId="761A99CE" w14:textId="11ECCAE6" w:rsidR="008E60A3" w:rsidRDefault="00F238D3" w:rsidP="00F238D3">
      <w:pPr>
        <w:pStyle w:val="Zkladntext"/>
        <w:ind w:right="-885"/>
      </w:pPr>
      <w:r>
        <w:rPr>
          <w:noProof/>
        </w:rPr>
        <w:lastRenderedPageBreak/>
        <w:drawing>
          <wp:anchor distT="0" distB="0" distL="114935" distR="114935" simplePos="0" relativeHeight="251661312" behindDoc="1" locked="0" layoutInCell="1" allowOverlap="1" wp14:anchorId="79CE6C8F" wp14:editId="6FDD3923">
            <wp:simplePos x="0" y="0"/>
            <wp:positionH relativeFrom="column">
              <wp:posOffset>5943600</wp:posOffset>
            </wp:positionH>
            <wp:positionV relativeFrom="paragraph">
              <wp:posOffset>-455295</wp:posOffset>
            </wp:positionV>
            <wp:extent cx="924560" cy="587375"/>
            <wp:effectExtent l="0" t="0" r="889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8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0A3">
        <w:tab/>
      </w:r>
    </w:p>
    <w:p w14:paraId="758B60B4" w14:textId="106A5C35" w:rsidR="008E60A3" w:rsidRPr="00BD5502" w:rsidRDefault="008E60A3" w:rsidP="008E60A3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Ceník externích vyšetření – psi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3969"/>
        <w:gridCol w:w="1418"/>
        <w:gridCol w:w="1134"/>
        <w:gridCol w:w="708"/>
      </w:tblGrid>
      <w:tr w:rsidR="008E60A3" w14:paraId="4A823C5E" w14:textId="77777777" w:rsidTr="00A21EE2">
        <w:trPr>
          <w:cantSplit/>
          <w:trHeight w:val="584"/>
        </w:trPr>
        <w:tc>
          <w:tcPr>
            <w:tcW w:w="2268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7F09D6BE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>Vyšetření</w:t>
            </w:r>
          </w:p>
        </w:tc>
        <w:tc>
          <w:tcPr>
            <w:tcW w:w="1276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378032E1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>Druh vzorku</w:t>
            </w:r>
          </w:p>
        </w:tc>
        <w:tc>
          <w:tcPr>
            <w:tcW w:w="3969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36" w:space="0" w:color="auto"/>
            </w:tcBorders>
            <w:shd w:val="clear" w:color="auto" w:fill="auto"/>
            <w:vAlign w:val="center"/>
          </w:tcPr>
          <w:p w14:paraId="4C2CC551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 xml:space="preserve">Popis 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C9A9D9F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>Laboratoř</w:t>
            </w:r>
          </w:p>
        </w:tc>
        <w:tc>
          <w:tcPr>
            <w:tcW w:w="184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29DDDDE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>Cena Kč</w:t>
            </w:r>
          </w:p>
          <w:p w14:paraId="7D553FEC" w14:textId="77777777" w:rsidR="008E60A3" w:rsidRPr="003128B8" w:rsidRDefault="008E60A3" w:rsidP="00A21EE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128B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128B8">
              <w:rPr>
                <w:b/>
                <w:bCs/>
                <w:sz w:val="20"/>
                <w:szCs w:val="20"/>
              </w:rPr>
              <w:t>DPH</w:t>
            </w:r>
            <w:r>
              <w:rPr>
                <w:b/>
                <w:bCs/>
                <w:sz w:val="20"/>
                <w:szCs w:val="20"/>
              </w:rPr>
              <w:t>/EUR</w:t>
            </w:r>
          </w:p>
        </w:tc>
      </w:tr>
      <w:tr w:rsidR="008E60A3" w14:paraId="19CD4BF7" w14:textId="77777777" w:rsidTr="00A21EE2">
        <w:trPr>
          <w:trHeight w:val="953"/>
        </w:trPr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52C7D5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Progressive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Retinal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Atrophy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prcd</w:t>
            </w:r>
            <w:proofErr w:type="spellEnd"/>
            <w:r>
              <w:rPr>
                <w:b/>
                <w:sz w:val="18"/>
                <w:szCs w:val="18"/>
              </w:rPr>
              <w:t>-PRA)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C8D62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CC4A3F" w14:textId="77777777" w:rsidR="008E60A3" w:rsidRDefault="008E60A3" w:rsidP="00A21EE2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6491B0B" w14:textId="77777777" w:rsidR="008E60A3" w:rsidRDefault="008E60A3" w:rsidP="00A21E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PRA mutace: americký a anglický kokršpaněl, eskymácká lajka, australský honácký pes, </w:t>
            </w:r>
            <w:proofErr w:type="spellStart"/>
            <w:r>
              <w:rPr>
                <w:sz w:val="16"/>
                <w:szCs w:val="16"/>
              </w:rPr>
              <w:t>Australian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Stumpy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Cattle</w:t>
            </w:r>
            <w:proofErr w:type="spellEnd"/>
            <w:r>
              <w:rPr>
                <w:sz w:val="16"/>
                <w:szCs w:val="16"/>
              </w:rPr>
              <w:t xml:space="preserve"> Dog, </w:t>
            </w:r>
            <w:proofErr w:type="spellStart"/>
            <w:r>
              <w:rPr>
                <w:sz w:val="16"/>
                <w:szCs w:val="16"/>
              </w:rPr>
              <w:t>Chesapeake</w:t>
            </w:r>
            <w:proofErr w:type="spellEnd"/>
            <w:r>
              <w:rPr>
                <w:sz w:val="16"/>
                <w:szCs w:val="16"/>
              </w:rPr>
              <w:t xml:space="preserve"> Bay </w:t>
            </w:r>
            <w:proofErr w:type="spellStart"/>
            <w:r>
              <w:rPr>
                <w:sz w:val="16"/>
                <w:szCs w:val="16"/>
              </w:rPr>
              <w:t>retvívr</w:t>
            </w:r>
            <w:proofErr w:type="spellEnd"/>
            <w:r>
              <w:rPr>
                <w:sz w:val="16"/>
                <w:szCs w:val="16"/>
              </w:rPr>
              <w:t xml:space="preserve">, čínský chocholatý pes, </w:t>
            </w:r>
            <w:proofErr w:type="spellStart"/>
            <w:r>
              <w:rPr>
                <w:sz w:val="16"/>
                <w:szCs w:val="16"/>
              </w:rPr>
              <w:t>entlebušský</w:t>
            </w:r>
            <w:proofErr w:type="spellEnd"/>
            <w:r>
              <w:rPr>
                <w:sz w:val="16"/>
                <w:szCs w:val="16"/>
              </w:rPr>
              <w:t xml:space="preserve"> pes, finský laponský pes, zlatý </w:t>
            </w:r>
            <w:proofErr w:type="spellStart"/>
            <w:r>
              <w:rPr>
                <w:sz w:val="16"/>
                <w:szCs w:val="16"/>
              </w:rPr>
              <w:t>retvívr</w:t>
            </w:r>
            <w:proofErr w:type="spellEnd"/>
            <w:r>
              <w:rPr>
                <w:sz w:val="16"/>
                <w:szCs w:val="16"/>
              </w:rPr>
              <w:t xml:space="preserve">, čuvač, </w:t>
            </w:r>
            <w:proofErr w:type="spellStart"/>
            <w:r>
              <w:rPr>
                <w:sz w:val="16"/>
                <w:szCs w:val="16"/>
              </w:rPr>
              <w:t>Laponian</w:t>
            </w:r>
            <w:proofErr w:type="spellEnd"/>
            <w:r>
              <w:rPr>
                <w:sz w:val="16"/>
                <w:szCs w:val="16"/>
              </w:rPr>
              <w:t xml:space="preserve"> Herder, labrador, </w:t>
            </w:r>
            <w:proofErr w:type="spellStart"/>
            <w:r>
              <w:rPr>
                <w:sz w:val="16"/>
                <w:szCs w:val="16"/>
              </w:rPr>
              <w:t>Labradoodle</w:t>
            </w:r>
            <w:proofErr w:type="spellEnd"/>
            <w:r>
              <w:rPr>
                <w:sz w:val="16"/>
                <w:szCs w:val="16"/>
              </w:rPr>
              <w:t xml:space="preserve">, Nova </w:t>
            </w:r>
            <w:proofErr w:type="spellStart"/>
            <w:r>
              <w:rPr>
                <w:sz w:val="16"/>
                <w:szCs w:val="16"/>
              </w:rPr>
              <w:t>Scotia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Duck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retvívr</w:t>
            </w:r>
            <w:proofErr w:type="spellEnd"/>
            <w:r>
              <w:rPr>
                <w:sz w:val="16"/>
                <w:szCs w:val="16"/>
              </w:rPr>
              <w:t xml:space="preserve">, portugalský </w:t>
            </w:r>
            <w:proofErr w:type="spellStart"/>
            <w:r>
              <w:rPr>
                <w:sz w:val="16"/>
                <w:szCs w:val="16"/>
              </w:rPr>
              <w:t>španěl</w:t>
            </w:r>
            <w:proofErr w:type="spellEnd"/>
            <w:r>
              <w:rPr>
                <w:sz w:val="16"/>
                <w:szCs w:val="16"/>
              </w:rPr>
              <w:t xml:space="preserve">, švédský laponský pes, </w:t>
            </w:r>
            <w:proofErr w:type="spellStart"/>
            <w:r>
              <w:rPr>
                <w:sz w:val="16"/>
                <w:szCs w:val="16"/>
              </w:rPr>
              <w:t>toy</w:t>
            </w:r>
            <w:proofErr w:type="spellEnd"/>
            <w:r>
              <w:rPr>
                <w:sz w:val="16"/>
                <w:szCs w:val="16"/>
              </w:rPr>
              <w:t xml:space="preserve"> pudl, trpasličí pudl</w:t>
            </w:r>
          </w:p>
          <w:p w14:paraId="4D9F4BC3" w14:textId="77777777" w:rsidR="008E60A3" w:rsidRDefault="008E60A3" w:rsidP="00A21E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 </w:t>
            </w:r>
            <w:proofErr w:type="spellStart"/>
            <w:r>
              <w:rPr>
                <w:b/>
                <w:sz w:val="18"/>
                <w:szCs w:val="18"/>
              </w:rPr>
              <w:t>Optigen</w:t>
            </w:r>
            <w:proofErr w:type="spellEnd"/>
            <w:r>
              <w:rPr>
                <w:b/>
                <w:sz w:val="18"/>
                <w:szCs w:val="18"/>
              </w:rPr>
              <w:t xml:space="preserve"> certifikátem</w:t>
            </w:r>
          </w:p>
          <w:p w14:paraId="732A5EB7" w14:textId="77777777" w:rsidR="008E60A3" w:rsidRDefault="008E60A3" w:rsidP="00A21EE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certifikátu </w:t>
            </w:r>
            <w:r>
              <w:rPr>
                <w:bCs/>
                <w:sz w:val="18"/>
                <w:szCs w:val="18"/>
              </w:rPr>
              <w:t>(Laboklin – partnerská laboratoř)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7B6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B0A1D77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</w:p>
          <w:p w14:paraId="5E194747" w14:textId="77777777" w:rsidR="008E60A3" w:rsidRDefault="008E60A3" w:rsidP="00A21EE2">
            <w:pPr>
              <w:rPr>
                <w:sz w:val="18"/>
                <w:szCs w:val="18"/>
              </w:rPr>
            </w:pPr>
          </w:p>
          <w:p w14:paraId="0AD061F6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  <w:p w14:paraId="774AD4CF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</w:p>
          <w:p w14:paraId="0CD2FD1E" w14:textId="77777777" w:rsidR="008E60A3" w:rsidRDefault="008E60A3" w:rsidP="00A21E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51B6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738038D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AECEB3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E09C47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7C3481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9B0CCE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EB0B49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C0E0C47" w14:textId="26DC9EE3" w:rsidR="008E60A3" w:rsidRDefault="00007057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</w:t>
            </w:r>
            <w:r w:rsidR="008E60A3">
              <w:rPr>
                <w:sz w:val="18"/>
                <w:szCs w:val="18"/>
              </w:rPr>
              <w:t>,00</w:t>
            </w:r>
          </w:p>
          <w:p w14:paraId="41F9FBCD" w14:textId="1CD9E4E1" w:rsidR="008E60A3" w:rsidRDefault="00007057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</w:t>
            </w:r>
            <w:r w:rsidR="008E60A3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DB2A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FFA851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8D0521E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AEB1A6D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8616CA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C93726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F98CAE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3AE13C8" w14:textId="704B40F7" w:rsidR="008E60A3" w:rsidRDefault="00007057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8E60A3">
              <w:rPr>
                <w:sz w:val="18"/>
                <w:szCs w:val="18"/>
              </w:rPr>
              <w:t>,00</w:t>
            </w:r>
          </w:p>
          <w:p w14:paraId="3839BB25" w14:textId="17804E53" w:rsidR="008E60A3" w:rsidRDefault="00007057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8E60A3">
              <w:rPr>
                <w:sz w:val="18"/>
                <w:szCs w:val="18"/>
              </w:rPr>
              <w:t>,00</w:t>
            </w:r>
          </w:p>
        </w:tc>
      </w:tr>
      <w:tr w:rsidR="008E60A3" w14:paraId="6CD667F5" w14:textId="77777777" w:rsidTr="00A21EE2">
        <w:trPr>
          <w:trHeight w:val="38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80E2E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F78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495AA7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B277343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detekce PRA mutace: vyšetření v partnerské laboratoři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ACD5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Genomia,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C128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0039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</w:tr>
      <w:tr w:rsidR="008E60A3" w14:paraId="1A3B415F" w14:textId="77777777" w:rsidTr="00A21EE2">
        <w:trPr>
          <w:trHeight w:val="5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F135F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Pyruvatkinase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Deficiency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72770D88" w14:textId="77777777" w:rsidR="008E60A3" w:rsidRDefault="008E60A3" w:rsidP="00A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(PK </w:t>
            </w:r>
            <w:proofErr w:type="spellStart"/>
            <w:r>
              <w:rPr>
                <w:b/>
                <w:sz w:val="18"/>
                <w:szCs w:val="18"/>
              </w:rPr>
              <w:t>deficiency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1B8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F22DD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484973EB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nedostatku PK: Basenji, </w:t>
            </w:r>
            <w:proofErr w:type="spellStart"/>
            <w:r>
              <w:rPr>
                <w:sz w:val="16"/>
                <w:szCs w:val="16"/>
              </w:rPr>
              <w:t>Westhajlendský</w:t>
            </w:r>
            <w:proofErr w:type="spellEnd"/>
            <w:r>
              <w:rPr>
                <w:sz w:val="16"/>
                <w:szCs w:val="16"/>
              </w:rPr>
              <w:t xml:space="preserve"> teriér, </w:t>
            </w:r>
            <w:proofErr w:type="spellStart"/>
            <w:r>
              <w:rPr>
                <w:sz w:val="16"/>
                <w:szCs w:val="16"/>
              </w:rPr>
              <w:t>Mops,labrador</w:t>
            </w:r>
            <w:proofErr w:type="spellEnd"/>
            <w:r>
              <w:rPr>
                <w:sz w:val="16"/>
                <w:szCs w:val="16"/>
              </w:rPr>
              <w:t>, bígl</w:t>
            </w:r>
          </w:p>
          <w:p w14:paraId="44F0CCF9" w14:textId="77777777" w:rsidR="008E60A3" w:rsidRDefault="008E60A3" w:rsidP="00A21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434B0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621AD" w14:textId="64C0626C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7057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2596A63E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45B70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DE49308" w14:textId="07CB8563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0705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54E96E5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585153EA" w14:textId="77777777" w:rsidTr="00A21EE2">
        <w:trPr>
          <w:trHeight w:val="5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A8B5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Retinal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Dysplasia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4E2027BB" w14:textId="77777777" w:rsidR="008E60A3" w:rsidRDefault="008E60A3" w:rsidP="00A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(OSD)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11410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8F91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D0F7AC7" w14:textId="25CCBFE0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OSD  </w:t>
            </w:r>
            <w:proofErr w:type="spellStart"/>
            <w:r>
              <w:rPr>
                <w:sz w:val="16"/>
                <w:szCs w:val="16"/>
              </w:rPr>
              <w:t>mutace:</w:t>
            </w:r>
            <w:r w:rsidR="00997F4E">
              <w:rPr>
                <w:sz w:val="16"/>
                <w:szCs w:val="16"/>
              </w:rPr>
              <w:t>severský</w:t>
            </w:r>
            <w:proofErr w:type="spellEnd"/>
            <w:r w:rsidR="00997F4E">
              <w:rPr>
                <w:sz w:val="16"/>
                <w:szCs w:val="16"/>
              </w:rPr>
              <w:t xml:space="preserve"> eskymácký pes; </w:t>
            </w:r>
            <w:proofErr w:type="spellStart"/>
            <w:r w:rsidR="00997F4E">
              <w:rPr>
                <w:sz w:val="16"/>
                <w:szCs w:val="16"/>
              </w:rPr>
              <w:t>tamaskan</w:t>
            </w:r>
            <w:proofErr w:type="spellEnd"/>
          </w:p>
          <w:p w14:paraId="35E5FA9C" w14:textId="654F9730" w:rsidR="008E60A3" w:rsidRPr="005D24FC" w:rsidRDefault="008E60A3" w:rsidP="00A21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 </w:t>
            </w:r>
            <w:proofErr w:type="spellStart"/>
            <w:r>
              <w:rPr>
                <w:b/>
                <w:sz w:val="18"/>
                <w:szCs w:val="18"/>
              </w:rPr>
              <w:t>Optigen</w:t>
            </w:r>
            <w:proofErr w:type="spellEnd"/>
            <w:r>
              <w:rPr>
                <w:b/>
                <w:sz w:val="18"/>
                <w:szCs w:val="18"/>
              </w:rPr>
              <w:t xml:space="preserve"> certifikátem</w:t>
            </w:r>
            <w:r w:rsidR="00997F4E">
              <w:rPr>
                <w:sz w:val="16"/>
                <w:szCs w:val="16"/>
              </w:rPr>
              <w:t xml:space="preserve"> (Labradorský retrívr)</w:t>
            </w:r>
          </w:p>
          <w:p w14:paraId="52CC161A" w14:textId="77777777" w:rsidR="008E60A3" w:rsidRDefault="008E60A3" w:rsidP="00A21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 certifikátu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7A78BEB4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3908BD" w14:textId="316F4DD5" w:rsidR="008E60A3" w:rsidRDefault="00997F4E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</w:t>
            </w:r>
            <w:r w:rsidR="008E60A3">
              <w:rPr>
                <w:sz w:val="18"/>
                <w:szCs w:val="18"/>
              </w:rPr>
              <w:t>,00</w:t>
            </w:r>
          </w:p>
          <w:p w14:paraId="7810EC2F" w14:textId="6DDA6CAC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7F4E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bottom"/>
          </w:tcPr>
          <w:p w14:paraId="3C41C9C0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2E59C3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DA61502" w14:textId="511DB8B9" w:rsidR="008E60A3" w:rsidRDefault="00997F4E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8E60A3">
              <w:rPr>
                <w:sz w:val="18"/>
                <w:szCs w:val="18"/>
              </w:rPr>
              <w:t>,00</w:t>
            </w:r>
          </w:p>
          <w:p w14:paraId="6780EEAD" w14:textId="68B4528E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97F4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</w:tc>
      </w:tr>
      <w:tr w:rsidR="008E60A3" w14:paraId="458B11FE" w14:textId="77777777" w:rsidTr="00A21EE2">
        <w:trPr>
          <w:trHeight w:val="210"/>
        </w:trPr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0D1585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Susceptibility to </w:t>
            </w:r>
            <w:proofErr w:type="spellStart"/>
            <w:r>
              <w:rPr>
                <w:b/>
                <w:sz w:val="18"/>
                <w:szCs w:val="18"/>
              </w:rPr>
              <w:t>Pug</w:t>
            </w:r>
            <w:proofErr w:type="spellEnd"/>
            <w:r>
              <w:rPr>
                <w:b/>
                <w:sz w:val="18"/>
                <w:szCs w:val="18"/>
              </w:rPr>
              <w:t xml:space="preserve"> Dog </w:t>
            </w:r>
            <w:proofErr w:type="spellStart"/>
            <w:r>
              <w:rPr>
                <w:b/>
                <w:sz w:val="18"/>
                <w:szCs w:val="18"/>
              </w:rPr>
              <w:t>Encephalitis</w:t>
            </w:r>
            <w:proofErr w:type="spellEnd"/>
            <w:r>
              <w:rPr>
                <w:b/>
                <w:sz w:val="18"/>
                <w:szCs w:val="18"/>
              </w:rPr>
              <w:t xml:space="preserve"> (PDE) Test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FF5D2A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4AA609E5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ED676C6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detekce NME sdružených markerů: Mops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768F0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>, USA*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A1A55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4FDE0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E04B470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68,00</w:t>
            </w:r>
          </w:p>
        </w:tc>
      </w:tr>
      <w:tr w:rsidR="008E60A3" w14:paraId="00D152F5" w14:textId="77777777" w:rsidTr="00A21EE2">
        <w:trPr>
          <w:trHeight w:val="21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06EF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CA123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7CDEC342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08F5C260" w14:textId="77777777" w:rsidR="008E60A3" w:rsidRDefault="008E60A3" w:rsidP="00A21EE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detekce NME sdružených markerů: Mops</w:t>
            </w:r>
          </w:p>
          <w:p w14:paraId="572E990B" w14:textId="77777777" w:rsidR="008E60A3" w:rsidRPr="00E01CFB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 w:rsidRPr="00E01CFB">
              <w:rPr>
                <w:b/>
                <w:sz w:val="16"/>
                <w:szCs w:val="16"/>
              </w:rPr>
              <w:t>certifikát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20F5E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0450DC" w14:textId="22F1A312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7F4E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1B9EB4E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8DF4FB" w14:textId="2D3518F8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97F4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0AFC017A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3CFCF706" w14:textId="77777777" w:rsidTr="00A21EE2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25DE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Trapped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Neutrophil</w:t>
            </w:r>
            <w:proofErr w:type="spellEnd"/>
            <w:r>
              <w:rPr>
                <w:b/>
                <w:sz w:val="18"/>
                <w:szCs w:val="18"/>
              </w:rPr>
              <w:t xml:space="preserve"> Syndrome (TNS)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19D94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F362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2233CE6B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TNS delece: </w:t>
            </w:r>
            <w:proofErr w:type="spellStart"/>
            <w:r>
              <w:rPr>
                <w:sz w:val="16"/>
                <w:szCs w:val="16"/>
              </w:rPr>
              <w:t>Border</w:t>
            </w:r>
            <w:proofErr w:type="spellEnd"/>
            <w:r>
              <w:rPr>
                <w:sz w:val="16"/>
                <w:szCs w:val="16"/>
              </w:rPr>
              <w:t xml:space="preserve"> Kolie</w:t>
            </w:r>
          </w:p>
          <w:p w14:paraId="3882B437" w14:textId="77777777" w:rsidR="008E60A3" w:rsidRDefault="008E60A3" w:rsidP="00A21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8778D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F2055" w14:textId="00508E7B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7F4E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11283AFE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BDB25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7C2EF1B" w14:textId="3E24F2D6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97F4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0C5BE8C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3DB89B57" w14:textId="77777777" w:rsidTr="00A21EE2">
        <w:trPr>
          <w:trHeight w:val="4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D82E3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227EE">
              <w:rPr>
                <w:b/>
                <w:sz w:val="18"/>
                <w:szCs w:val="18"/>
              </w:rPr>
              <w:t>Wolf-Dog Hybrid Test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12E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4352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67C86FFC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</w:t>
            </w:r>
            <w:proofErr w:type="spellStart"/>
            <w:r>
              <w:rPr>
                <w:sz w:val="16"/>
                <w:szCs w:val="16"/>
              </w:rPr>
              <w:t>wolf</w:t>
            </w:r>
            <w:proofErr w:type="spellEnd"/>
            <w:r>
              <w:rPr>
                <w:sz w:val="16"/>
                <w:szCs w:val="16"/>
              </w:rPr>
              <w:t xml:space="preserve"> alely: Sibiřský husky, Německý ovčák, Aljašský malamut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0F7D168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VGL </w:t>
            </w:r>
            <w:proofErr w:type="spellStart"/>
            <w:r>
              <w:rPr>
                <w:sz w:val="18"/>
                <w:szCs w:val="18"/>
              </w:rPr>
              <w:t>California</w:t>
            </w:r>
            <w:proofErr w:type="spellEnd"/>
            <w:r>
              <w:rPr>
                <w:sz w:val="18"/>
                <w:szCs w:val="18"/>
              </w:rPr>
              <w:t>, USA*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D5F5C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4247,00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bottom"/>
          </w:tcPr>
          <w:p w14:paraId="4743EBF4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3BFBCB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163,00</w:t>
            </w:r>
          </w:p>
        </w:tc>
      </w:tr>
      <w:tr w:rsidR="008E60A3" w14:paraId="3C590F3C" w14:textId="77777777" w:rsidTr="00A21EE2">
        <w:trPr>
          <w:trHeight w:val="39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2C3C08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von </w:t>
            </w:r>
            <w:proofErr w:type="spellStart"/>
            <w:r>
              <w:rPr>
                <w:b/>
                <w:sz w:val="18"/>
                <w:szCs w:val="18"/>
              </w:rPr>
              <w:t>Willebrand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Disease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080089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78094489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16972186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</w:t>
            </w:r>
            <w:proofErr w:type="spellStart"/>
            <w:r>
              <w:rPr>
                <w:sz w:val="16"/>
                <w:szCs w:val="16"/>
              </w:rPr>
              <w:t>vWD</w:t>
            </w:r>
            <w:proofErr w:type="spellEnd"/>
            <w:r>
              <w:rPr>
                <w:sz w:val="16"/>
                <w:szCs w:val="16"/>
              </w:rPr>
              <w:t xml:space="preserve"> type I mutace: Dobrman, Německý pinč, Bernský salašnický pes, </w:t>
            </w:r>
            <w:proofErr w:type="spellStart"/>
            <w:r>
              <w:rPr>
                <w:sz w:val="16"/>
                <w:szCs w:val="16"/>
              </w:rPr>
              <w:t>Pudl,Labradoodle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Papillon</w:t>
            </w:r>
            <w:proofErr w:type="spellEnd"/>
          </w:p>
          <w:p w14:paraId="3EEDDEEE" w14:textId="77777777" w:rsidR="008E60A3" w:rsidRDefault="008E60A3" w:rsidP="00A21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E34B7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892BAB" w14:textId="7CAED35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7F4E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215D1B23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E6C34B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</w:p>
          <w:p w14:paraId="2EDEC2DA" w14:textId="345DEE65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97F4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32E5FE49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6E663750" w14:textId="77777777" w:rsidTr="00A21EE2">
        <w:trPr>
          <w:trHeight w:val="39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A4D09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A1CC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30DBA5B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30B30F46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detekce </w:t>
            </w:r>
            <w:proofErr w:type="spellStart"/>
            <w:r>
              <w:rPr>
                <w:sz w:val="16"/>
                <w:szCs w:val="16"/>
              </w:rPr>
              <w:t>vWD</w:t>
            </w:r>
            <w:proofErr w:type="spellEnd"/>
            <w:r>
              <w:rPr>
                <w:sz w:val="16"/>
                <w:szCs w:val="16"/>
              </w:rPr>
              <w:t xml:space="preserve"> type I mutace: pro více plemen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5DBE94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Genomia, ČR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651EE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5FC71B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</w:tr>
      <w:tr w:rsidR="008E60A3" w14:paraId="7A20CEC0" w14:textId="77777777" w:rsidTr="00A21EE2">
        <w:trPr>
          <w:trHeight w:val="39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64F677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von </w:t>
            </w:r>
            <w:proofErr w:type="spellStart"/>
            <w:r>
              <w:rPr>
                <w:b/>
                <w:sz w:val="18"/>
                <w:szCs w:val="18"/>
              </w:rPr>
              <w:t>Willebrand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Disease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501D8D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5A8AA0C2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134619F5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</w:t>
            </w:r>
            <w:proofErr w:type="spellStart"/>
            <w:r>
              <w:rPr>
                <w:sz w:val="16"/>
                <w:szCs w:val="16"/>
              </w:rPr>
              <w:t>vWD</w:t>
            </w:r>
            <w:proofErr w:type="spellEnd"/>
            <w:r>
              <w:rPr>
                <w:sz w:val="16"/>
                <w:szCs w:val="16"/>
              </w:rPr>
              <w:t xml:space="preserve"> type II mutace: Německý krátkosrstý a hrubosrstý ohař</w:t>
            </w:r>
          </w:p>
          <w:p w14:paraId="035E7990" w14:textId="77777777" w:rsidR="008E60A3" w:rsidRDefault="008E60A3" w:rsidP="00A21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6A4D92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2EC616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C7210FD" w14:textId="31408F14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7F4E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0F0268F8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81A844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B211F0F" w14:textId="5093D63F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97F4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10B13A93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4C2E35A3" w14:textId="77777777" w:rsidTr="00A21EE2">
        <w:trPr>
          <w:trHeight w:val="39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8822D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DDD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14CAB8F0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40258BA8" w14:textId="77777777" w:rsidR="008E60A3" w:rsidRPr="00795722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</w:t>
            </w:r>
            <w:proofErr w:type="spellStart"/>
            <w:r>
              <w:rPr>
                <w:sz w:val="16"/>
                <w:szCs w:val="16"/>
              </w:rPr>
              <w:t>vWD</w:t>
            </w:r>
            <w:proofErr w:type="spellEnd"/>
            <w:r>
              <w:rPr>
                <w:sz w:val="16"/>
                <w:szCs w:val="16"/>
              </w:rPr>
              <w:t xml:space="preserve"> type II mutace: Německý krátkosrstý a hrubosrstý ohař, Kolie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B75E8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Genomia, ČR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97493A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E13154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</w:tr>
      <w:tr w:rsidR="008E60A3" w14:paraId="6478C7D8" w14:textId="77777777" w:rsidTr="00A21EE2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CC8B0E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von </w:t>
            </w:r>
            <w:proofErr w:type="spellStart"/>
            <w:r>
              <w:rPr>
                <w:b/>
                <w:sz w:val="18"/>
                <w:szCs w:val="18"/>
              </w:rPr>
              <w:t>Willebrand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Disease</w:t>
            </w:r>
            <w:proofErr w:type="spellEnd"/>
            <w:r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FF4D95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7550417D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22ED5C10" w14:textId="77777777" w:rsidR="008E60A3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</w:t>
            </w:r>
            <w:proofErr w:type="spellStart"/>
            <w:r>
              <w:rPr>
                <w:sz w:val="16"/>
                <w:szCs w:val="16"/>
              </w:rPr>
              <w:t>vWD</w:t>
            </w:r>
            <w:proofErr w:type="spellEnd"/>
            <w:r>
              <w:rPr>
                <w:sz w:val="16"/>
                <w:szCs w:val="16"/>
              </w:rPr>
              <w:t xml:space="preserve"> type </w:t>
            </w:r>
            <w:proofErr w:type="spellStart"/>
            <w:r>
              <w:rPr>
                <w:sz w:val="16"/>
                <w:szCs w:val="16"/>
              </w:rPr>
              <w:t>IIImutace</w:t>
            </w:r>
            <w:proofErr w:type="spellEnd"/>
            <w:r>
              <w:rPr>
                <w:sz w:val="16"/>
                <w:szCs w:val="16"/>
              </w:rPr>
              <w:t xml:space="preserve">: Skotský teriér, </w:t>
            </w:r>
            <w:proofErr w:type="spellStart"/>
            <w:r>
              <w:rPr>
                <w:sz w:val="16"/>
                <w:szCs w:val="16"/>
              </w:rPr>
              <w:t>Šeltie</w:t>
            </w:r>
            <w:proofErr w:type="spellEnd"/>
          </w:p>
          <w:p w14:paraId="06F18AD6" w14:textId="77777777" w:rsidR="008E60A3" w:rsidRDefault="008E60A3" w:rsidP="00A21E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certifikát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7EFFB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6E71E2" w14:textId="7A032562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1A4C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,00</w:t>
            </w:r>
          </w:p>
          <w:p w14:paraId="7113D51F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4074A" w14:textId="0F638C6F" w:rsidR="008E60A3" w:rsidRDefault="00DA1BBC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8E60A3">
              <w:rPr>
                <w:sz w:val="18"/>
                <w:szCs w:val="18"/>
              </w:rPr>
              <w:t>,00</w:t>
            </w:r>
          </w:p>
          <w:p w14:paraId="66F873A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 w:rsidR="008E60A3" w14:paraId="2AE152AA" w14:textId="77777777" w:rsidTr="00A21EE2">
        <w:trPr>
          <w:trHeight w:val="30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99F1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9585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0ABDE3E3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31DC2161" w14:textId="77777777" w:rsidR="008E60A3" w:rsidRPr="00795722" w:rsidRDefault="008E60A3" w:rsidP="00A21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detekce </w:t>
            </w:r>
            <w:proofErr w:type="spellStart"/>
            <w:r>
              <w:rPr>
                <w:sz w:val="16"/>
                <w:szCs w:val="16"/>
              </w:rPr>
              <w:t>vWD</w:t>
            </w:r>
            <w:proofErr w:type="spellEnd"/>
            <w:r>
              <w:rPr>
                <w:sz w:val="16"/>
                <w:szCs w:val="16"/>
              </w:rPr>
              <w:t xml:space="preserve"> type III mutace: </w:t>
            </w:r>
            <w:proofErr w:type="spellStart"/>
            <w:r>
              <w:rPr>
                <w:sz w:val="16"/>
                <w:szCs w:val="16"/>
              </w:rPr>
              <w:t>Kooikehondje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Šeltie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95CA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Genomia, ČR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6376E3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D4B99A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</w:tr>
      <w:tr w:rsidR="008E60A3" w14:paraId="263C1349" w14:textId="77777777" w:rsidTr="00A21EE2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D1834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DNA / </w:t>
            </w:r>
            <w:proofErr w:type="spellStart"/>
            <w:r>
              <w:rPr>
                <w:b/>
                <w:sz w:val="18"/>
                <w:szCs w:val="18"/>
              </w:rPr>
              <w:t>Parent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Verification</w:t>
            </w:r>
            <w:proofErr w:type="spellEnd"/>
          </w:p>
          <w:p w14:paraId="5A065190" w14:textId="77777777" w:rsidR="008E60A3" w:rsidRDefault="008E60A3" w:rsidP="00A21EE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(určení rodičovství)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3F6E0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C8FD" w14:textId="77777777" w:rsidR="008E60A3" w:rsidRDefault="008E60A3" w:rsidP="00A21EE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Genetické vyšetření</w:t>
            </w:r>
          </w:p>
          <w:p w14:paraId="5775750A" w14:textId="77777777" w:rsidR="008E60A3" w:rsidRDefault="008E60A3" w:rsidP="00A21E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DNA profil (rodič, potomek)</w:t>
            </w:r>
          </w:p>
          <w:p w14:paraId="5017E663" w14:textId="77777777" w:rsidR="008E60A3" w:rsidRDefault="008E60A3" w:rsidP="00A21E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ověření </w:t>
            </w:r>
            <w:proofErr w:type="spellStart"/>
            <w:r>
              <w:rPr>
                <w:sz w:val="18"/>
                <w:szCs w:val="18"/>
              </w:rPr>
              <w:t>rodičovství-každý</w:t>
            </w:r>
            <w:proofErr w:type="spellEnd"/>
            <w:r>
              <w:rPr>
                <w:sz w:val="18"/>
                <w:szCs w:val="18"/>
              </w:rPr>
              <w:t xml:space="preserve"> rodič</w:t>
            </w:r>
          </w:p>
          <w:p w14:paraId="3FEE3111" w14:textId="77777777" w:rsidR="008E60A3" w:rsidRDefault="008E60A3" w:rsidP="00A21E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ověření </w:t>
            </w:r>
            <w:proofErr w:type="spellStart"/>
            <w:r>
              <w:rPr>
                <w:sz w:val="18"/>
                <w:szCs w:val="18"/>
              </w:rPr>
              <w:t>rodičovství-každý</w:t>
            </w:r>
            <w:proofErr w:type="spellEnd"/>
            <w:r>
              <w:rPr>
                <w:sz w:val="18"/>
                <w:szCs w:val="18"/>
              </w:rPr>
              <w:t xml:space="preserve"> potomek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D2F7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Laboklin, Germany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3D834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E3A1E28" w14:textId="2A7F6F01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6A3A126" w14:textId="43DA837F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1BBC">
              <w:rPr>
                <w:sz w:val="18"/>
                <w:szCs w:val="18"/>
              </w:rPr>
              <w:t>460</w:t>
            </w:r>
            <w:r>
              <w:rPr>
                <w:sz w:val="18"/>
                <w:szCs w:val="18"/>
              </w:rPr>
              <w:t>,00</w:t>
            </w:r>
          </w:p>
          <w:p w14:paraId="3E6A069F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CD71C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A24FC61" w14:textId="1D78B0EB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7F2D959" w14:textId="07B6FD85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A1BB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</w:t>
            </w:r>
          </w:p>
          <w:p w14:paraId="6A890971" w14:textId="77777777" w:rsidR="008E60A3" w:rsidRDefault="008E60A3" w:rsidP="00A2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</w:tr>
      <w:tr w:rsidR="008E60A3" w14:paraId="6CAEF467" w14:textId="77777777" w:rsidTr="00A21EE2">
        <w:trPr>
          <w:trHeight w:val="22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AC30" w14:textId="77777777" w:rsidR="008E60A3" w:rsidRDefault="008E60A3" w:rsidP="00A21EE2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Manipulační poplatek </w:t>
            </w:r>
            <w:r>
              <w:rPr>
                <w:sz w:val="18"/>
                <w:szCs w:val="18"/>
              </w:rPr>
              <w:t>(poštovné, balné za odběrový materiál) dle země zaslání a velikosti zásilky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69105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30 - 60,00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62FA8" w14:textId="77777777" w:rsidR="008E60A3" w:rsidRDefault="008E60A3" w:rsidP="00A21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2- 3</w:t>
            </w:r>
          </w:p>
        </w:tc>
      </w:tr>
    </w:tbl>
    <w:p w14:paraId="0EE3125A" w14:textId="77777777" w:rsidR="008E60A3" w:rsidRDefault="008E60A3" w:rsidP="008E60A3">
      <w:pPr>
        <w:rPr>
          <w:sz w:val="18"/>
          <w:szCs w:val="18"/>
        </w:rPr>
      </w:pPr>
    </w:p>
    <w:p w14:paraId="3843AEC8" w14:textId="59F5D867" w:rsidR="008E60A3" w:rsidRPr="00E2311A" w:rsidRDefault="008E60A3" w:rsidP="008E60A3">
      <w:pPr>
        <w:rPr>
          <w:bCs/>
          <w:sz w:val="18"/>
          <w:szCs w:val="18"/>
        </w:rPr>
      </w:pPr>
      <w:r w:rsidRPr="00440D5D">
        <w:rPr>
          <w:sz w:val="18"/>
          <w:szCs w:val="18"/>
        </w:rPr>
        <w:t>Cena vyšetření platí za jeden vzorek.</w:t>
      </w:r>
      <w:r w:rsidRPr="00E2311A">
        <w:rPr>
          <w:sz w:val="18"/>
          <w:szCs w:val="18"/>
        </w:rPr>
        <w:t xml:space="preserve"> </w:t>
      </w:r>
      <w:r w:rsidRPr="00E2311A">
        <w:rPr>
          <w:bCs/>
          <w:sz w:val="18"/>
          <w:szCs w:val="18"/>
        </w:rPr>
        <w:t>Pla</w:t>
      </w:r>
      <w:r>
        <w:rPr>
          <w:bCs/>
          <w:sz w:val="18"/>
          <w:szCs w:val="18"/>
        </w:rPr>
        <w:t>tnost ceníku od 1</w:t>
      </w:r>
      <w:r w:rsidR="005544E0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.</w:t>
      </w:r>
      <w:r w:rsidR="005544E0">
        <w:rPr>
          <w:bCs/>
          <w:sz w:val="18"/>
          <w:szCs w:val="18"/>
        </w:rPr>
        <w:t>10</w:t>
      </w:r>
      <w:r>
        <w:rPr>
          <w:bCs/>
          <w:sz w:val="18"/>
          <w:szCs w:val="18"/>
        </w:rPr>
        <w:t>.2022</w:t>
      </w:r>
      <w:r w:rsidRPr="00E2311A">
        <w:rPr>
          <w:bCs/>
          <w:sz w:val="18"/>
          <w:szCs w:val="18"/>
        </w:rPr>
        <w:t>. Ceny vyšetření se mohou měnit dle aktuálního kurzu.</w:t>
      </w:r>
    </w:p>
    <w:p w14:paraId="17950F51" w14:textId="77777777" w:rsidR="008E60A3" w:rsidRDefault="008E60A3" w:rsidP="008E60A3">
      <w:pPr>
        <w:pStyle w:val="Zkladntext"/>
        <w:ind w:right="-885"/>
        <w:rPr>
          <w:b/>
          <w:sz w:val="18"/>
          <w:szCs w:val="18"/>
        </w:rPr>
      </w:pPr>
    </w:p>
    <w:p w14:paraId="4C79560A" w14:textId="77777777" w:rsidR="008E60A3" w:rsidRDefault="008E60A3" w:rsidP="008E60A3">
      <w:pPr>
        <w:pStyle w:val="Zkladntext"/>
        <w:ind w:right="-885"/>
        <w:rPr>
          <w:b/>
          <w:szCs w:val="20"/>
        </w:rPr>
      </w:pPr>
      <w:r w:rsidRPr="00336131">
        <w:rPr>
          <w:b/>
          <w:szCs w:val="20"/>
        </w:rPr>
        <w:t>NA GENETICKÁ VYŠETŘENÍ SE NEVZTAHUJÍ ŽÁDNÉ SLEVY!</w:t>
      </w:r>
    </w:p>
    <w:p w14:paraId="65E69FA3" w14:textId="77777777" w:rsidR="008E60A3" w:rsidRDefault="008E60A3" w:rsidP="008E60A3">
      <w:pPr>
        <w:pStyle w:val="Zkladntext"/>
        <w:ind w:right="-885"/>
        <w:rPr>
          <w:b/>
          <w:szCs w:val="20"/>
        </w:rPr>
      </w:pPr>
    </w:p>
    <w:p w14:paraId="5B872088" w14:textId="77777777" w:rsidR="008E60A3" w:rsidRPr="00B35F5B" w:rsidRDefault="008E60A3" w:rsidP="008E60A3">
      <w:pPr>
        <w:pStyle w:val="Zkladntext"/>
        <w:ind w:right="-885"/>
        <w:rPr>
          <w:b/>
          <w:szCs w:val="20"/>
        </w:rPr>
      </w:pPr>
      <w:r w:rsidRPr="00B35F5B">
        <w:rPr>
          <w:b/>
          <w:szCs w:val="20"/>
        </w:rPr>
        <w:t xml:space="preserve">!!! Pro </w:t>
      </w:r>
      <w:r w:rsidRPr="00987A02">
        <w:rPr>
          <w:b/>
          <w:szCs w:val="20"/>
          <w:u w:val="single"/>
        </w:rPr>
        <w:t>vystavení certifikátu</w:t>
      </w:r>
      <w:r w:rsidRPr="00B35F5B">
        <w:rPr>
          <w:b/>
          <w:szCs w:val="20"/>
        </w:rPr>
        <w:t>, u genetických vyšetření, je</w:t>
      </w:r>
      <w:r>
        <w:rPr>
          <w:b/>
          <w:szCs w:val="20"/>
        </w:rPr>
        <w:t xml:space="preserve"> NUTNÝ</w:t>
      </w:r>
      <w:r w:rsidRPr="00B35F5B">
        <w:rPr>
          <w:b/>
          <w:szCs w:val="20"/>
        </w:rPr>
        <w:t xml:space="preserve"> </w:t>
      </w:r>
      <w:r w:rsidRPr="00987A02">
        <w:rPr>
          <w:b/>
          <w:szCs w:val="20"/>
          <w:u w:val="single"/>
        </w:rPr>
        <w:t>čip zvířete</w:t>
      </w:r>
      <w:r w:rsidRPr="00B35F5B">
        <w:rPr>
          <w:b/>
          <w:szCs w:val="20"/>
        </w:rPr>
        <w:t xml:space="preserve"> !!!</w:t>
      </w:r>
    </w:p>
    <w:p w14:paraId="69F7E5F5" w14:textId="77777777" w:rsidR="008E60A3" w:rsidRPr="00336131" w:rsidRDefault="008E60A3" w:rsidP="008E60A3">
      <w:pPr>
        <w:pStyle w:val="Nadpis7"/>
        <w:tabs>
          <w:tab w:val="left" w:pos="5245"/>
          <w:tab w:val="left" w:pos="7938"/>
          <w:tab w:val="left" w:pos="8222"/>
        </w:tabs>
        <w:ind w:right="-709"/>
        <w:rPr>
          <w:rFonts w:ascii="Times New Roman" w:hAnsi="Times New Roman"/>
          <w:b/>
          <w:sz w:val="20"/>
          <w:szCs w:val="20"/>
        </w:rPr>
      </w:pPr>
      <w:r w:rsidRPr="00336131">
        <w:rPr>
          <w:rFonts w:ascii="Times New Roman" w:hAnsi="Times New Roman"/>
          <w:b/>
          <w:sz w:val="20"/>
          <w:szCs w:val="20"/>
        </w:rPr>
        <w:t>* Pro vyšetření do VGL !!! nutný 4x CYTOBRUSH / 4x suchý tampon od jednoho zvířete !!!</w:t>
      </w:r>
    </w:p>
    <w:p w14:paraId="663DDF10" w14:textId="77777777" w:rsidR="008E60A3" w:rsidRDefault="008E60A3" w:rsidP="008E60A3">
      <w:pPr>
        <w:pStyle w:val="Zkladntext"/>
        <w:ind w:right="-885"/>
        <w:rPr>
          <w:b/>
          <w:sz w:val="18"/>
          <w:szCs w:val="18"/>
        </w:rPr>
      </w:pPr>
    </w:p>
    <w:p w14:paraId="6EA35AB3" w14:textId="77777777" w:rsidR="008E60A3" w:rsidRDefault="008E60A3" w:rsidP="008E60A3">
      <w:pPr>
        <w:pStyle w:val="Zkladntext"/>
        <w:ind w:left="-540" w:right="-885"/>
      </w:pPr>
    </w:p>
    <w:p w14:paraId="1C55FC83" w14:textId="77777777" w:rsidR="00E750CE" w:rsidRDefault="00E750CE"/>
    <w:sectPr w:rsidR="00E750CE" w:rsidSect="00F238D3">
      <w:headerReference w:type="default" r:id="rId7"/>
      <w:pgSz w:w="11906" w:h="16838"/>
      <w:pgMar w:top="993" w:right="567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FEE8" w14:textId="77777777" w:rsidR="00000000" w:rsidRDefault="00F238D3">
      <w:r>
        <w:separator/>
      </w:r>
    </w:p>
  </w:endnote>
  <w:endnote w:type="continuationSeparator" w:id="0">
    <w:p w14:paraId="155BC6F0" w14:textId="77777777" w:rsidR="00000000" w:rsidRDefault="00F2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C695" w14:textId="77777777" w:rsidR="00000000" w:rsidRDefault="00F238D3">
      <w:r>
        <w:separator/>
      </w:r>
    </w:p>
  </w:footnote>
  <w:footnote w:type="continuationSeparator" w:id="0">
    <w:p w14:paraId="72AA1EF2" w14:textId="77777777" w:rsidR="00000000" w:rsidRDefault="00F2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88D4" w14:textId="77777777" w:rsidR="00BB3847" w:rsidRDefault="005544E0" w:rsidP="00BB3847">
    <w:pPr>
      <w:jc w:val="center"/>
      <w:rPr>
        <w:b/>
        <w:sz w:val="14"/>
        <w:szCs w:val="14"/>
      </w:rPr>
    </w:pPr>
    <w:r>
      <w:rPr>
        <w:b/>
        <w:sz w:val="14"/>
        <w:szCs w:val="14"/>
      </w:rPr>
      <w:t>SEVARON PORADENSTVÍ, s.r.o.</w:t>
    </w:r>
  </w:p>
  <w:p w14:paraId="001CF3FA" w14:textId="77777777" w:rsidR="00BB3847" w:rsidRDefault="005544E0" w:rsidP="00BB3847">
    <w:pPr>
      <w:pStyle w:val="Zpat"/>
      <w:jc w:val="center"/>
      <w:rPr>
        <w:sz w:val="14"/>
        <w:szCs w:val="14"/>
      </w:rPr>
    </w:pPr>
    <w:r>
      <w:rPr>
        <w:sz w:val="14"/>
        <w:szCs w:val="14"/>
      </w:rPr>
      <w:t xml:space="preserve">Blanenská 12b, Kuřim 664 34, </w:t>
    </w:r>
    <w:r>
      <w:rPr>
        <w:b/>
        <w:sz w:val="14"/>
        <w:szCs w:val="14"/>
      </w:rPr>
      <w:t>mobil: 777 714 157</w:t>
    </w:r>
  </w:p>
  <w:p w14:paraId="71C871D1" w14:textId="77777777" w:rsidR="00BB3847" w:rsidRDefault="005544E0" w:rsidP="00BB3847">
    <w:pPr>
      <w:pStyle w:val="Zpat"/>
      <w:jc w:val="center"/>
      <w:rPr>
        <w:sz w:val="14"/>
        <w:szCs w:val="14"/>
      </w:rPr>
    </w:pPr>
    <w:r>
      <w:rPr>
        <w:sz w:val="14"/>
        <w:szCs w:val="14"/>
      </w:rPr>
      <w:t xml:space="preserve">E-mail: </w:t>
    </w:r>
    <w:hyperlink r:id="rId1" w:history="1">
      <w:r>
        <w:rPr>
          <w:rStyle w:val="Hypertextovodkaz"/>
          <w:sz w:val="14"/>
          <w:szCs w:val="14"/>
        </w:rPr>
        <w:t>laborator@sevaron.cz</w:t>
      </w:r>
    </w:hyperlink>
    <w:r>
      <w:rPr>
        <w:sz w:val="14"/>
        <w:szCs w:val="14"/>
      </w:rPr>
      <w:t xml:space="preserve">, web: </w:t>
    </w:r>
    <w:hyperlink r:id="rId2" w:history="1">
      <w:r>
        <w:rPr>
          <w:rStyle w:val="Hypertextovodkaz"/>
          <w:sz w:val="14"/>
          <w:szCs w:val="14"/>
        </w:rPr>
        <w:t>www.sevaron.cz</w:t>
      </w:r>
    </w:hyperlink>
    <w:r>
      <w:rPr>
        <w:sz w:val="14"/>
        <w:szCs w:val="14"/>
      </w:rPr>
      <w:t>; www.sevaronlab.cz</w:t>
    </w:r>
  </w:p>
  <w:p w14:paraId="31C36161" w14:textId="77777777" w:rsidR="00BB3847" w:rsidRDefault="005544E0" w:rsidP="00BB3847">
    <w:pPr>
      <w:jc w:val="center"/>
      <w:rPr>
        <w:b/>
        <w:sz w:val="14"/>
        <w:szCs w:val="14"/>
      </w:rPr>
    </w:pPr>
    <w:r>
      <w:rPr>
        <w:b/>
        <w:sz w:val="14"/>
        <w:szCs w:val="14"/>
      </w:rPr>
      <w:t>Diagnostická laboratoř</w:t>
    </w:r>
  </w:p>
  <w:p w14:paraId="2F7B913E" w14:textId="77777777" w:rsidR="00940FEE" w:rsidRPr="00BB3847" w:rsidRDefault="00F238D3" w:rsidP="00BB38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A3"/>
    <w:rsid w:val="00007057"/>
    <w:rsid w:val="00192619"/>
    <w:rsid w:val="003C4494"/>
    <w:rsid w:val="00465D0D"/>
    <w:rsid w:val="005544E0"/>
    <w:rsid w:val="008E60A3"/>
    <w:rsid w:val="00997F4E"/>
    <w:rsid w:val="00A33546"/>
    <w:rsid w:val="00B50AAF"/>
    <w:rsid w:val="00C838D0"/>
    <w:rsid w:val="00DA1BBC"/>
    <w:rsid w:val="00E750CE"/>
    <w:rsid w:val="00F238D3"/>
    <w:rsid w:val="00F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71EE"/>
  <w15:chartTrackingRefBased/>
  <w15:docId w15:val="{81FD8B71-6D17-4C41-8A06-CD714117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6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60A3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8E60A3"/>
    <w:rPr>
      <w:rFonts w:ascii="Calibri" w:eastAsia="Times New Roman" w:hAnsi="Calibri" w:cs="Times New Roman"/>
      <w:sz w:val="24"/>
      <w:szCs w:val="24"/>
      <w:lang w:eastAsia="ar-SA"/>
    </w:rPr>
  </w:style>
  <w:style w:type="character" w:styleId="Hypertextovodkaz">
    <w:name w:val="Hyperlink"/>
    <w:rsid w:val="008E60A3"/>
    <w:rPr>
      <w:color w:val="0000FF"/>
      <w:u w:val="single"/>
    </w:rPr>
  </w:style>
  <w:style w:type="character" w:customStyle="1" w:styleId="datafield1">
    <w:name w:val="datafield1"/>
    <w:rsid w:val="008E60A3"/>
    <w:rPr>
      <w:rFonts w:ascii="Verdana" w:hAnsi="Verdana" w:cs="Verdana"/>
      <w:color w:val="000000"/>
      <w:sz w:val="20"/>
      <w:szCs w:val="20"/>
    </w:rPr>
  </w:style>
  <w:style w:type="character" w:customStyle="1" w:styleId="headerinstructions1">
    <w:name w:val="headerinstructions1"/>
    <w:rsid w:val="008E60A3"/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8E60A3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8E60A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Zhlav">
    <w:name w:val="header"/>
    <w:basedOn w:val="Normln"/>
    <w:link w:val="ZhlavChar"/>
    <w:rsid w:val="008E60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6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8E60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E60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varon.cz/" TargetMode="External"/><Relationship Id="rId1" Type="http://schemas.openxmlformats.org/officeDocument/2006/relationships/hyperlink" Target="mailto:laborator@sevar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1461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Kršková</dc:creator>
  <cp:keywords/>
  <dc:description/>
  <cp:lastModifiedBy>Kršková</cp:lastModifiedBy>
  <cp:revision>10</cp:revision>
  <dcterms:created xsi:type="dcterms:W3CDTF">2022-10-10T11:06:00Z</dcterms:created>
  <dcterms:modified xsi:type="dcterms:W3CDTF">2022-10-12T07:41:00Z</dcterms:modified>
</cp:coreProperties>
</file>